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CE" w:rsidRPr="003327A1" w:rsidRDefault="002F1CCE" w:rsidP="002F1CCE">
      <w:pPr>
        <w:pStyle w:val="PlainText"/>
        <w:jc w:val="center"/>
        <w:rPr>
          <w:b/>
          <w:sz w:val="24"/>
          <w:szCs w:val="24"/>
        </w:rPr>
      </w:pPr>
      <w:r w:rsidRPr="003327A1">
        <w:rPr>
          <w:b/>
          <w:sz w:val="24"/>
          <w:szCs w:val="24"/>
        </w:rPr>
        <w:t>Electronic Dossiers</w:t>
      </w:r>
    </w:p>
    <w:p w:rsidR="002F1CCE" w:rsidRDefault="002F1CCE" w:rsidP="002F1CCE">
      <w:pPr>
        <w:pStyle w:val="PlainText"/>
        <w:jc w:val="center"/>
        <w:rPr>
          <w:b/>
          <w:sz w:val="24"/>
          <w:szCs w:val="24"/>
        </w:rPr>
      </w:pPr>
      <w:r w:rsidRPr="003327A1">
        <w:rPr>
          <w:b/>
          <w:sz w:val="24"/>
          <w:szCs w:val="24"/>
        </w:rPr>
        <w:t>Step by Step Process for Preparers</w:t>
      </w:r>
    </w:p>
    <w:p w:rsidR="005A2329" w:rsidRPr="003327A1" w:rsidRDefault="005A2329" w:rsidP="002F1CCE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Regular Promotion &amp; Tenure Dossiers</w:t>
      </w:r>
    </w:p>
    <w:p w:rsidR="002F1CCE" w:rsidRDefault="002F1CCE" w:rsidP="002F1CCE">
      <w:pPr>
        <w:pStyle w:val="PlainText"/>
      </w:pPr>
    </w:p>
    <w:p w:rsidR="00AA65F6" w:rsidRDefault="002F1CCE" w:rsidP="00AA65F6">
      <w:pPr>
        <w:pStyle w:val="PlainText"/>
        <w:ind w:left="720"/>
      </w:pPr>
      <w:r>
        <w:t xml:space="preserve">Access </w:t>
      </w:r>
      <w:r w:rsidR="00011CE1">
        <w:t xml:space="preserve">the </w:t>
      </w:r>
      <w:r w:rsidR="00011CE1" w:rsidRPr="004D6775">
        <w:t>Electronic Dossier</w:t>
      </w:r>
      <w:r>
        <w:t xml:space="preserve"> SharePoint site</w:t>
      </w:r>
      <w:r w:rsidR="00011CE1">
        <w:t xml:space="preserve"> </w:t>
      </w:r>
      <w:r w:rsidR="004D6775">
        <w:t xml:space="preserve">by clicking on the web address that was sent to you from Dale Kaser. </w:t>
      </w:r>
      <w:r w:rsidR="00AA65F6">
        <w:t>This should take you directly to your department’s “library</w:t>
      </w:r>
      <w:r w:rsidR="00182DD7">
        <w:t xml:space="preserve">.” </w:t>
      </w:r>
      <w:r w:rsidR="00AA65F6">
        <w:t>This is where the dossiers for your candidates will be uploaded and kept.</w:t>
      </w:r>
      <w:r w:rsidR="005A2329">
        <w:t xml:space="preserve">  </w:t>
      </w:r>
    </w:p>
    <w:p w:rsidR="00AA65F6" w:rsidRDefault="00AA65F6" w:rsidP="00AA65F6">
      <w:pPr>
        <w:pStyle w:val="PlainText"/>
        <w:ind w:left="720"/>
      </w:pPr>
    </w:p>
    <w:p w:rsidR="00AA65F6" w:rsidRDefault="00AA65F6" w:rsidP="00AA65F6">
      <w:pPr>
        <w:pStyle w:val="PlainText"/>
        <w:ind w:left="720"/>
      </w:pPr>
      <w:r>
        <w:t xml:space="preserve">If you use a </w:t>
      </w:r>
      <w:r w:rsidR="00D5249C">
        <w:t>P</w:t>
      </w:r>
      <w:r>
        <w:t>C and it does not automatically open Internet Explorer</w:t>
      </w:r>
      <w:r w:rsidR="00D63FC0">
        <w:t xml:space="preserve"> when you click on the link (from Dale Kaser)</w:t>
      </w:r>
      <w:r>
        <w:t xml:space="preserve">, right-click the URL or web address in the e-mail message from Dale and click </w:t>
      </w:r>
      <w:r w:rsidRPr="001C7B84">
        <w:rPr>
          <w:b/>
        </w:rPr>
        <w:t>Copy</w:t>
      </w:r>
      <w:r>
        <w:t>. Open Internet Explorer</w:t>
      </w:r>
      <w:r w:rsidR="00182DD7">
        <w:t xml:space="preserve">. </w:t>
      </w:r>
      <w:r>
        <w:t xml:space="preserve">Right-click in the address bar and click </w:t>
      </w:r>
      <w:r w:rsidRPr="001C7B84">
        <w:rPr>
          <w:b/>
        </w:rPr>
        <w:t>Paste</w:t>
      </w:r>
      <w:r>
        <w:t>.</w:t>
      </w:r>
    </w:p>
    <w:p w:rsidR="00AA65F6" w:rsidRDefault="00AA65F6" w:rsidP="00AA65F6">
      <w:pPr>
        <w:pStyle w:val="PlainText"/>
        <w:ind w:left="720"/>
      </w:pPr>
    </w:p>
    <w:p w:rsidR="00AA65F6" w:rsidRDefault="00AA65F6" w:rsidP="00AA65F6">
      <w:pPr>
        <w:pStyle w:val="PlainText"/>
        <w:ind w:left="720"/>
      </w:pPr>
      <w:r>
        <w:t>If you need to enter a user name and password, enter marqnet\username and your eMarq password.</w:t>
      </w:r>
      <w:r w:rsidR="00631E52">
        <w:t xml:space="preserve">  </w:t>
      </w:r>
    </w:p>
    <w:p w:rsidR="00AA65F6" w:rsidRDefault="00AA65F6" w:rsidP="00AA65F6">
      <w:pPr>
        <w:pStyle w:val="PlainText"/>
        <w:ind w:left="720"/>
      </w:pPr>
    </w:p>
    <w:p w:rsidR="00AA65F6" w:rsidRDefault="00DF288E" w:rsidP="00AA65F6">
      <w:pPr>
        <w:pStyle w:val="PlainText"/>
        <w:ind w:left="720"/>
      </w:pPr>
      <w:r>
        <w:rPr>
          <w:noProof/>
        </w:rPr>
        <w:drawing>
          <wp:inline distT="0" distB="0" distL="0" distR="0" wp14:anchorId="35438C4B" wp14:editId="5969DD9A">
            <wp:extent cx="4147185" cy="2294255"/>
            <wp:effectExtent l="19050" t="19050" r="24765" b="1079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2294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65F6" w:rsidRDefault="00AA65F6" w:rsidP="00AA65F6">
      <w:pPr>
        <w:pStyle w:val="PlainText"/>
        <w:ind w:left="720"/>
      </w:pPr>
    </w:p>
    <w:p w:rsidR="00AA65F6" w:rsidRDefault="00AA65F6" w:rsidP="00AA65F6">
      <w:pPr>
        <w:pStyle w:val="PlainText"/>
        <w:ind w:left="720"/>
      </w:pPr>
      <w:r>
        <w:t xml:space="preserve"> If you are often being prompted to enter your password</w:t>
      </w:r>
      <w:r w:rsidR="001C7B84">
        <w:t>, or are experiencing issues accessing PDFs</w:t>
      </w:r>
      <w:r>
        <w:t xml:space="preserve">, it is suggested you run the Marquette Internet Explorer and Windows firewall configuration tool that is available for download online at </w:t>
      </w:r>
      <w:hyperlink r:id="rId11" w:history="1">
        <w:r w:rsidRPr="00342F60">
          <w:rPr>
            <w:rStyle w:val="Hyperlink"/>
          </w:rPr>
          <w:t>http://www.marquette.edu/its/help/software/configure.shtml</w:t>
        </w:r>
      </w:hyperlink>
      <w:r>
        <w:t xml:space="preserve">   </w:t>
      </w:r>
    </w:p>
    <w:p w:rsidR="00AA65F6" w:rsidRDefault="00AA65F6" w:rsidP="00AA65F6">
      <w:pPr>
        <w:pStyle w:val="PlainText"/>
        <w:ind w:left="720"/>
      </w:pPr>
    </w:p>
    <w:p w:rsidR="005F4F8C" w:rsidRDefault="002C70F8" w:rsidP="00182DD7">
      <w:pPr>
        <w:pStyle w:val="PlainText"/>
        <w:ind w:left="720"/>
      </w:pPr>
      <w:r>
        <w:t xml:space="preserve">You may need to </w:t>
      </w:r>
      <w:r w:rsidR="005F4F8C">
        <w:t>navigate</w:t>
      </w:r>
      <w:r>
        <w:t xml:space="preserve"> to access the site where you will click on </w:t>
      </w:r>
      <w:r w:rsidRPr="003308B1">
        <w:rPr>
          <w:b/>
        </w:rPr>
        <w:t>Shared Documents</w:t>
      </w:r>
      <w:r>
        <w:t>.</w:t>
      </w:r>
      <w:r w:rsidR="005F4F8C">
        <w:br/>
        <w:t>Click the down arrow to see more sub sites.</w:t>
      </w:r>
      <w:r w:rsidR="002969A8">
        <w:t xml:space="preserve"> Click </w:t>
      </w:r>
      <w:r w:rsidR="002969A8" w:rsidRPr="003308B1">
        <w:rPr>
          <w:b/>
        </w:rPr>
        <w:t>Promotion and Tenure</w:t>
      </w:r>
      <w:r w:rsidR="002969A8">
        <w:t xml:space="preserve"> to navigate back to this site.</w:t>
      </w:r>
      <w:r w:rsidR="005F4F8C">
        <w:t xml:space="preserve"> </w:t>
      </w:r>
      <w:r w:rsidR="002969A8">
        <w:br/>
      </w:r>
    </w:p>
    <w:p w:rsidR="002969A8" w:rsidRDefault="00DF288E" w:rsidP="00182DD7">
      <w:pPr>
        <w:pStyle w:val="PlainText"/>
        <w:ind w:left="720"/>
      </w:pPr>
      <w:r w:rsidRPr="00B14617">
        <w:rPr>
          <w:noProof/>
        </w:rPr>
        <w:drawing>
          <wp:inline distT="0" distB="0" distL="0" distR="0" wp14:anchorId="35438C4D" wp14:editId="35438C4E">
            <wp:extent cx="5101590" cy="2390140"/>
            <wp:effectExtent l="0" t="0" r="381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A8" w:rsidRDefault="002969A8" w:rsidP="00182DD7">
      <w:pPr>
        <w:pStyle w:val="PlainText"/>
        <w:ind w:left="720"/>
      </w:pPr>
    </w:p>
    <w:p w:rsidR="002C70F8" w:rsidRDefault="002C70F8" w:rsidP="007E6AA0">
      <w:pPr>
        <w:pStyle w:val="PlainText"/>
        <w:ind w:left="720"/>
      </w:pPr>
    </w:p>
    <w:p w:rsidR="002C70F8" w:rsidRDefault="002C70F8" w:rsidP="007E6AA0">
      <w:pPr>
        <w:pStyle w:val="PlainText"/>
        <w:ind w:left="720"/>
      </w:pPr>
      <w:r>
        <w:t xml:space="preserve">When </w:t>
      </w:r>
      <w:r w:rsidR="000104F5">
        <w:t>you have navigated to</w:t>
      </w:r>
      <w:r>
        <w:t xml:space="preserve"> your site, for example </w:t>
      </w:r>
      <w:r w:rsidR="002969A8">
        <w:t>Biological Sciences</w:t>
      </w:r>
      <w:r>
        <w:t xml:space="preserve">, click </w:t>
      </w:r>
      <w:r w:rsidRPr="003F160F">
        <w:rPr>
          <w:b/>
        </w:rPr>
        <w:t>Shared Documents</w:t>
      </w:r>
      <w:r>
        <w:t>.</w:t>
      </w:r>
      <w:r w:rsidRPr="002C70F8">
        <w:t xml:space="preserve"> </w:t>
      </w:r>
    </w:p>
    <w:p w:rsidR="002C70F8" w:rsidRDefault="002C70F8" w:rsidP="007E6AA0">
      <w:pPr>
        <w:pStyle w:val="PlainText"/>
        <w:ind w:left="720"/>
      </w:pPr>
      <w:r>
        <w:br/>
      </w:r>
      <w:r w:rsidR="00DF288E" w:rsidRPr="00B14617">
        <w:rPr>
          <w:noProof/>
        </w:rPr>
        <w:drawing>
          <wp:inline distT="0" distB="0" distL="0" distR="0" wp14:anchorId="35438C53" wp14:editId="35438C54">
            <wp:extent cx="5582920" cy="3665622"/>
            <wp:effectExtent l="19050" t="19050" r="17780" b="1143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5"/>
                    <a:stretch/>
                  </pic:blipFill>
                  <pic:spPr bwMode="auto">
                    <a:xfrm>
                      <a:off x="0" y="0"/>
                      <a:ext cx="5584336" cy="3666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775" w:rsidRDefault="004D6775" w:rsidP="004D6775">
      <w:pPr>
        <w:pStyle w:val="PlainText"/>
      </w:pPr>
    </w:p>
    <w:p w:rsidR="004D6775" w:rsidRDefault="004D6775" w:rsidP="004D6775">
      <w:pPr>
        <w:pStyle w:val="PlainText"/>
        <w:numPr>
          <w:ilvl w:val="0"/>
          <w:numId w:val="2"/>
        </w:numPr>
      </w:pPr>
      <w:r>
        <w:t>Make a new folder</w:t>
      </w:r>
      <w:r w:rsidR="00BB12D8">
        <w:t>/s</w:t>
      </w:r>
      <w:r>
        <w:t xml:space="preserve"> and name it after the candidate</w:t>
      </w:r>
      <w:r w:rsidR="00BB12D8">
        <w:t>/s</w:t>
      </w:r>
      <w:r w:rsidR="003327A1">
        <w:t>:</w:t>
      </w:r>
    </w:p>
    <w:p w:rsidR="000575BD" w:rsidRDefault="002C70F8" w:rsidP="007E6AA0">
      <w:pPr>
        <w:pStyle w:val="PlainText"/>
        <w:ind w:left="720"/>
      </w:pPr>
      <w:r>
        <w:t xml:space="preserve">Click </w:t>
      </w:r>
      <w:r w:rsidR="004F42F3" w:rsidRPr="003308B1">
        <w:rPr>
          <w:b/>
        </w:rPr>
        <w:t>+new document</w:t>
      </w:r>
      <w:r w:rsidR="004F42F3">
        <w:t xml:space="preserve"> &gt; </w:t>
      </w:r>
      <w:r w:rsidR="004F42F3" w:rsidRPr="003308B1">
        <w:rPr>
          <w:b/>
        </w:rPr>
        <w:t>New Folder</w:t>
      </w:r>
      <w:r w:rsidR="004F42F3">
        <w:t xml:space="preserve">. </w:t>
      </w:r>
      <w:r w:rsidR="004F42F3">
        <w:br/>
      </w:r>
    </w:p>
    <w:p w:rsidR="00AE3145" w:rsidRDefault="004F42F3" w:rsidP="003308B1">
      <w:pPr>
        <w:pStyle w:val="PlainText"/>
        <w:ind w:left="720"/>
      </w:pPr>
      <w:r>
        <w:rPr>
          <w:noProof/>
        </w:rPr>
        <w:drawing>
          <wp:inline distT="0" distB="0" distL="0" distR="0" wp14:anchorId="35438C57" wp14:editId="35438C58">
            <wp:extent cx="4869313" cy="3368842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1526" cy="337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45" w:rsidRDefault="00AE3145" w:rsidP="000575BD">
      <w:pPr>
        <w:pStyle w:val="PlainText"/>
      </w:pPr>
    </w:p>
    <w:p w:rsidR="00847064" w:rsidRDefault="00847064">
      <w:pPr>
        <w:rPr>
          <w:rFonts w:cs="Consolas"/>
          <w:szCs w:val="21"/>
        </w:rPr>
      </w:pPr>
    </w:p>
    <w:p w:rsidR="00AE3145" w:rsidRDefault="00AE3145" w:rsidP="007E6AA0">
      <w:pPr>
        <w:pStyle w:val="PlainText"/>
        <w:ind w:left="720"/>
      </w:pPr>
      <w:r>
        <w:t xml:space="preserve">Enter the candidate’s name and click </w:t>
      </w:r>
      <w:r w:rsidRPr="007E6AA0">
        <w:rPr>
          <w:b/>
        </w:rPr>
        <w:t>Save</w:t>
      </w:r>
      <w:r>
        <w:t>.</w:t>
      </w:r>
    </w:p>
    <w:p w:rsidR="00510A03" w:rsidRDefault="00510A03" w:rsidP="007E6AA0">
      <w:pPr>
        <w:pStyle w:val="PlainText"/>
        <w:ind w:left="720"/>
      </w:pPr>
    </w:p>
    <w:p w:rsidR="00AE3145" w:rsidRDefault="004F42F3" w:rsidP="007E6AA0">
      <w:pPr>
        <w:pStyle w:val="PlainText"/>
        <w:ind w:left="720"/>
      </w:pPr>
      <w:r>
        <w:rPr>
          <w:noProof/>
        </w:rPr>
        <w:drawing>
          <wp:inline distT="0" distB="0" distL="0" distR="0" wp14:anchorId="35438C5B" wp14:editId="64E487A4">
            <wp:extent cx="3419395" cy="878479"/>
            <wp:effectExtent l="19050" t="19050" r="10160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483" cy="88107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10A03" w:rsidRDefault="00510A03" w:rsidP="007E6AA0">
      <w:pPr>
        <w:pStyle w:val="PlainText"/>
        <w:ind w:left="720"/>
      </w:pPr>
    </w:p>
    <w:p w:rsidR="000104F5" w:rsidRDefault="000104F5" w:rsidP="007E6AA0">
      <w:pPr>
        <w:pStyle w:val="PlainText"/>
        <w:ind w:left="720"/>
      </w:pPr>
      <w:r>
        <w:t xml:space="preserve">The </w:t>
      </w:r>
      <w:r w:rsidR="005F4F8C">
        <w:t xml:space="preserve">folder </w:t>
      </w:r>
      <w:r>
        <w:t>will appear in Shared Documents.</w:t>
      </w:r>
      <w:r w:rsidR="00847064">
        <w:t xml:space="preserve"> The site name shows in the URL.</w:t>
      </w:r>
    </w:p>
    <w:p w:rsidR="002C70F8" w:rsidRDefault="002C70F8" w:rsidP="007E6AA0">
      <w:pPr>
        <w:pStyle w:val="PlainText"/>
        <w:ind w:left="720"/>
      </w:pPr>
    </w:p>
    <w:p w:rsidR="000575BD" w:rsidRDefault="00847064" w:rsidP="003308B1">
      <w:pPr>
        <w:pStyle w:val="PlainText"/>
        <w:jc w:val="center"/>
      </w:pPr>
      <w:r>
        <w:rPr>
          <w:noProof/>
        </w:rPr>
        <w:drawing>
          <wp:inline distT="0" distB="0" distL="0" distR="0" wp14:anchorId="715E720F" wp14:editId="56D30DB6">
            <wp:extent cx="5595321" cy="3176831"/>
            <wp:effectExtent l="19050" t="19050" r="24765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0837" cy="317996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312E" w:rsidRDefault="009A312E" w:rsidP="009A312E">
      <w:pPr>
        <w:pStyle w:val="PlainText"/>
      </w:pPr>
    </w:p>
    <w:p w:rsidR="001130CD" w:rsidRPr="003308B1" w:rsidRDefault="00AE3145" w:rsidP="003308B1">
      <w:pPr>
        <w:pStyle w:val="PlainText"/>
        <w:numPr>
          <w:ilvl w:val="0"/>
          <w:numId w:val="2"/>
        </w:numPr>
      </w:pPr>
      <w:r>
        <w:t>Name all the documents</w:t>
      </w:r>
      <w:r w:rsidR="00D40AA8">
        <w:t>/files</w:t>
      </w:r>
      <w:r>
        <w:t xml:space="preserve"> you want to </w:t>
      </w:r>
      <w:r w:rsidR="00C57595">
        <w:t>upload</w:t>
      </w:r>
      <w:r>
        <w:t xml:space="preserve"> for your candidate/s with the </w:t>
      </w:r>
      <w:r w:rsidRPr="003308B1">
        <w:rPr>
          <w:b/>
        </w:rPr>
        <w:t>exact</w:t>
      </w:r>
      <w:r>
        <w:t xml:space="preserve"> same names, </w:t>
      </w:r>
      <w:r w:rsidRPr="003308B1">
        <w:rPr>
          <w:i/>
        </w:rPr>
        <w:t xml:space="preserve">including </w:t>
      </w:r>
      <w:r w:rsidR="00213EAD" w:rsidRPr="003308B1">
        <w:rPr>
          <w:i/>
        </w:rPr>
        <w:t xml:space="preserve">double digit </w:t>
      </w:r>
      <w:r w:rsidR="00FB5C7E" w:rsidRPr="003308B1">
        <w:rPr>
          <w:i/>
        </w:rPr>
        <w:t>numbers</w:t>
      </w:r>
      <w:r w:rsidR="00FB5C7E">
        <w:t>, which</w:t>
      </w:r>
      <w:r>
        <w:t xml:space="preserve"> are in the Checklist/Table of Content</w:t>
      </w:r>
      <w:r w:rsidR="00FB5C7E">
        <w:t>,</w:t>
      </w:r>
      <w:r>
        <w:t xml:space="preserve"> </w:t>
      </w:r>
      <w:r w:rsidR="00FB5C7E">
        <w:t xml:space="preserve">which lists </w:t>
      </w:r>
      <w:r w:rsidR="004D6775">
        <w:t xml:space="preserve">all required </w:t>
      </w:r>
      <w:r w:rsidR="00FB5C7E">
        <w:t xml:space="preserve">and optional </w:t>
      </w:r>
      <w:r w:rsidR="004D6775">
        <w:t xml:space="preserve">documents.  This will </w:t>
      </w:r>
      <w:r>
        <w:t>make it easier to locate documents</w:t>
      </w:r>
      <w:r w:rsidR="004D6775">
        <w:t xml:space="preserve">.  </w:t>
      </w:r>
      <w:r w:rsidR="00FD7DB4">
        <w:t xml:space="preserve">  You may have some documents in Word or PDF form that you can </w:t>
      </w:r>
      <w:r>
        <w:t>add to the</w:t>
      </w:r>
      <w:r w:rsidR="00FD7DB4">
        <w:t xml:space="preserve"> candidate’s folder/dossier.</w:t>
      </w:r>
      <w:r w:rsidR="00BB12D8">
        <w:t xml:space="preserve">  </w:t>
      </w:r>
      <w:r w:rsidR="00D40AA8">
        <w:t xml:space="preserve">(PDF is preferred when possible/practical).  </w:t>
      </w:r>
      <w:r w:rsidR="00BB12D8">
        <w:t xml:space="preserve">You may also have hard copy documents, such as letters mailed to you that will need to be scanned in and </w:t>
      </w:r>
      <w:r w:rsidR="00D0347A">
        <w:t>uploaded</w:t>
      </w:r>
      <w:r w:rsidR="00BB12D8">
        <w:t xml:space="preserve"> to the folder/dossier.</w:t>
      </w:r>
      <w:r w:rsidR="00C21142">
        <w:t xml:space="preserve">   Scanned items will result in PDF documents that are not searchable.</w:t>
      </w:r>
      <w:r w:rsidR="00D0347A">
        <w:t xml:space="preserve">  Word documents that are saved as PDFs however, will be searchable. </w:t>
      </w:r>
      <w:r w:rsidR="001438DA">
        <w:t xml:space="preserve">  </w:t>
      </w:r>
      <w:r w:rsidR="00510A03">
        <w:br/>
      </w:r>
    </w:p>
    <w:p w:rsidR="008B0F46" w:rsidRDefault="000104F5" w:rsidP="00D76C30">
      <w:pPr>
        <w:pStyle w:val="PlainText"/>
        <w:numPr>
          <w:ilvl w:val="0"/>
          <w:numId w:val="2"/>
        </w:numPr>
        <w:rPr>
          <w:noProof/>
        </w:rPr>
      </w:pPr>
      <w:r>
        <w:t>Add the</w:t>
      </w:r>
      <w:r w:rsidR="00AE3145">
        <w:t xml:space="preserve"> documents </w:t>
      </w:r>
      <w:r>
        <w:t xml:space="preserve">for this candidate </w:t>
      </w:r>
      <w:r w:rsidR="00AE3145">
        <w:t>to the folder you have made in the Shared Documents library:</w:t>
      </w:r>
    </w:p>
    <w:p w:rsidR="00AE3145" w:rsidRDefault="002478D9" w:rsidP="00DB5F24">
      <w:pPr>
        <w:pStyle w:val="PlainText"/>
        <w:ind w:left="720"/>
        <w:rPr>
          <w:noProof/>
        </w:rPr>
      </w:pPr>
      <w:r>
        <w:rPr>
          <w:noProof/>
        </w:rPr>
        <w:t xml:space="preserve">Click the </w:t>
      </w:r>
      <w:r w:rsidRPr="007E6AA0">
        <w:rPr>
          <w:b/>
          <w:noProof/>
        </w:rPr>
        <w:t>Library</w:t>
      </w:r>
      <w:r>
        <w:rPr>
          <w:noProof/>
        </w:rPr>
        <w:t xml:space="preserve"> tab &gt; </w:t>
      </w:r>
      <w:r w:rsidRPr="007E6AA0">
        <w:rPr>
          <w:b/>
          <w:noProof/>
        </w:rPr>
        <w:t>Open with Explorer</w:t>
      </w:r>
      <w:r>
        <w:rPr>
          <w:noProof/>
        </w:rPr>
        <w:t>.</w:t>
      </w:r>
      <w:r w:rsidR="00510725">
        <w:rPr>
          <w:noProof/>
        </w:rPr>
        <w:t xml:space="preserve"> (You may need to maximize your window to see this icon.)</w:t>
      </w:r>
      <w:r w:rsidR="009E72B2">
        <w:rPr>
          <w:noProof/>
        </w:rPr>
        <w:br/>
      </w:r>
      <w:r w:rsidR="00714FAF" w:rsidRPr="003308B1">
        <w:rPr>
          <w:noProof/>
          <w:sz w:val="6"/>
        </w:rPr>
        <w:t xml:space="preserve">   </w:t>
      </w:r>
    </w:p>
    <w:p w:rsidR="002F6C15" w:rsidRDefault="00B90DAE">
      <w:pPr>
        <w:pStyle w:val="PlainText"/>
        <w:ind w:left="720"/>
        <w:rPr>
          <w:noProof/>
        </w:rPr>
      </w:pPr>
      <w:r>
        <w:rPr>
          <w:noProof/>
        </w:rPr>
        <w:drawing>
          <wp:inline distT="0" distB="0" distL="0" distR="0" wp14:anchorId="35438C63" wp14:editId="60F4C59D">
            <wp:extent cx="4072538" cy="1197460"/>
            <wp:effectExtent l="19050" t="19050" r="23495" b="222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3573"/>
                    <a:stretch/>
                  </pic:blipFill>
                  <pic:spPr bwMode="auto">
                    <a:xfrm>
                      <a:off x="0" y="0"/>
                      <a:ext cx="4171104" cy="12264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C15" w:rsidRDefault="005303CD" w:rsidP="00DB5F24">
      <w:pPr>
        <w:pStyle w:val="PlainText"/>
        <w:ind w:left="720"/>
        <w:rPr>
          <w:noProof/>
        </w:rPr>
      </w:pPr>
      <w:r>
        <w:rPr>
          <w:noProof/>
        </w:rPr>
        <w:lastRenderedPageBreak/>
        <w:t>This is an e</w:t>
      </w:r>
      <w:r w:rsidR="002F6C15">
        <w:rPr>
          <w:noProof/>
        </w:rPr>
        <w:t xml:space="preserve">nlarged view of </w:t>
      </w:r>
      <w:r w:rsidR="00B90DAE">
        <w:rPr>
          <w:noProof/>
        </w:rPr>
        <w:t xml:space="preserve">the Open with Explorer </w:t>
      </w:r>
      <w:r w:rsidR="002F6C15">
        <w:rPr>
          <w:noProof/>
        </w:rPr>
        <w:t>icon</w:t>
      </w:r>
      <w:r>
        <w:rPr>
          <w:noProof/>
        </w:rPr>
        <w:t>.</w:t>
      </w:r>
      <w:r w:rsidR="002F6C15">
        <w:rPr>
          <w:noProof/>
        </w:rPr>
        <w:tab/>
      </w:r>
      <w:r w:rsidR="00B90DAE">
        <w:rPr>
          <w:noProof/>
        </w:rPr>
        <w:drawing>
          <wp:inline distT="0" distB="0" distL="0" distR="0" wp14:anchorId="35438C65" wp14:editId="35438C66">
            <wp:extent cx="396274" cy="388654"/>
            <wp:effectExtent l="19050" t="19050" r="22860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74" cy="3886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0725" w:rsidRDefault="00994B63" w:rsidP="00DB5F24">
      <w:pPr>
        <w:pStyle w:val="PlainText"/>
        <w:ind w:left="720"/>
        <w:rPr>
          <w:noProof/>
        </w:rPr>
      </w:pPr>
      <w:r>
        <w:rPr>
          <w:noProof/>
        </w:rPr>
        <w:t xml:space="preserve">The Explorer </w:t>
      </w:r>
      <w:r w:rsidR="00510725">
        <w:rPr>
          <w:noProof/>
        </w:rPr>
        <w:t>window will open on top of the SharePoint window. Click on the SharePoint window and minimize it to place it in the Taskbar.</w:t>
      </w:r>
      <w:r w:rsidR="009E72B2">
        <w:rPr>
          <w:noProof/>
        </w:rPr>
        <w:br/>
      </w:r>
      <w:r w:rsidR="00510725">
        <w:rPr>
          <w:noProof/>
        </w:rPr>
        <w:br/>
      </w:r>
      <w:r w:rsidR="00297F55">
        <w:rPr>
          <w:noProof/>
        </w:rPr>
        <w:drawing>
          <wp:inline distT="0" distB="0" distL="0" distR="0" wp14:anchorId="34BCB48D" wp14:editId="2F29738C">
            <wp:extent cx="3634548" cy="2300035"/>
            <wp:effectExtent l="19050" t="19050" r="23495" b="241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38184" cy="23023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E72B2">
        <w:rPr>
          <w:noProof/>
        </w:rPr>
        <w:br/>
      </w:r>
    </w:p>
    <w:p w:rsidR="00510725" w:rsidRDefault="00510725" w:rsidP="00DB5F24">
      <w:pPr>
        <w:pStyle w:val="PlainText"/>
        <w:ind w:left="720"/>
        <w:rPr>
          <w:noProof/>
        </w:rPr>
      </w:pPr>
      <w:r>
        <w:rPr>
          <w:noProof/>
        </w:rPr>
        <w:t>Click on the Explorer window and click the Restore Down button to resize it so that you can see your desktop and drag files in.</w:t>
      </w:r>
      <w:r w:rsidR="000104F5">
        <w:rPr>
          <w:noProof/>
        </w:rPr>
        <w:t xml:space="preserve"> You can drag in a folder that contains multiple files.</w:t>
      </w:r>
      <w:r w:rsidR="009E72B2">
        <w:rPr>
          <w:noProof/>
        </w:rPr>
        <w:br/>
      </w:r>
    </w:p>
    <w:p w:rsidR="00510725" w:rsidRDefault="00DF288E" w:rsidP="00DB5F24">
      <w:pPr>
        <w:pStyle w:val="PlainText"/>
        <w:ind w:left="720"/>
        <w:rPr>
          <w:noProof/>
        </w:rPr>
      </w:pPr>
      <w:r>
        <w:rPr>
          <w:noProof/>
        </w:rPr>
        <w:drawing>
          <wp:inline distT="0" distB="0" distL="0" distR="0" wp14:anchorId="35438C69" wp14:editId="35438C6A">
            <wp:extent cx="1619250" cy="965200"/>
            <wp:effectExtent l="19050" t="19050" r="1905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5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2B2">
        <w:rPr>
          <w:noProof/>
        </w:rPr>
        <w:br/>
      </w:r>
    </w:p>
    <w:p w:rsidR="00297F55" w:rsidRDefault="00BA53ED" w:rsidP="00D76C30">
      <w:pPr>
        <w:pStyle w:val="PlainText"/>
        <w:tabs>
          <w:tab w:val="left" w:pos="1467"/>
        </w:tabs>
        <w:ind w:left="720"/>
        <w:rPr>
          <w:noProof/>
        </w:rPr>
      </w:pPr>
      <w:r>
        <w:rPr>
          <w:noProof/>
        </w:rPr>
        <w:t>Close the Explorer window and click on SharePoint in the taskbar to return to the Document Library.</w:t>
      </w:r>
      <w:r w:rsidR="00AA65F6">
        <w:rPr>
          <w:noProof/>
        </w:rPr>
        <w:br/>
      </w:r>
    </w:p>
    <w:p w:rsidR="00297F55" w:rsidRDefault="00297F55">
      <w:pPr>
        <w:rPr>
          <w:rFonts w:cs="Consolas"/>
          <w:noProof/>
          <w:szCs w:val="21"/>
        </w:rPr>
      </w:pPr>
      <w:r>
        <w:rPr>
          <w:noProof/>
        </w:rPr>
        <w:br w:type="page"/>
      </w:r>
    </w:p>
    <w:p w:rsidR="009E72B2" w:rsidRDefault="00A12B0C" w:rsidP="00D76C30">
      <w:pPr>
        <w:pStyle w:val="PlainText"/>
        <w:tabs>
          <w:tab w:val="left" w:pos="1467"/>
        </w:tabs>
        <w:ind w:left="720"/>
        <w:rPr>
          <w:noProof/>
        </w:rPr>
      </w:pPr>
      <w:r>
        <w:rPr>
          <w:noProof/>
        </w:rPr>
        <w:lastRenderedPageBreak/>
        <w:t xml:space="preserve">Below see a sample of the inside of </w:t>
      </w:r>
      <w:r w:rsidR="00D40AA8">
        <w:rPr>
          <w:noProof/>
        </w:rPr>
        <w:t>a candidate’s dossier:</w:t>
      </w:r>
    </w:p>
    <w:p w:rsidR="00A12B0C" w:rsidRDefault="00A12B0C" w:rsidP="009E72B2">
      <w:pPr>
        <w:pStyle w:val="PlainText"/>
        <w:tabs>
          <w:tab w:val="left" w:pos="1467"/>
        </w:tabs>
        <w:rPr>
          <w:noProof/>
        </w:rPr>
      </w:pPr>
      <w:r>
        <w:rPr>
          <w:noProof/>
        </w:rPr>
        <w:t xml:space="preserve"> </w:t>
      </w:r>
    </w:p>
    <w:p w:rsidR="0028363E" w:rsidRPr="0028363E" w:rsidRDefault="005D0C32" w:rsidP="0028363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EC6841" wp14:editId="6424201A">
            <wp:extent cx="6382713" cy="5086830"/>
            <wp:effectExtent l="19050" t="19050" r="18415" b="19050"/>
            <wp:docPr id="12" name="Picture 12" descr="C:\Users\lewisp\AppData\Local\Temp\SNAGHTML3f0df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p\AppData\Local\Temp\SNAGHTML3f0dfb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8"/>
                    <a:stretch/>
                  </pic:blipFill>
                  <pic:spPr bwMode="auto">
                    <a:xfrm>
                      <a:off x="0" y="0"/>
                      <a:ext cx="6387207" cy="5090411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63E" w:rsidRDefault="0028363E" w:rsidP="00361142">
      <w:pPr>
        <w:pStyle w:val="PlainText"/>
        <w:tabs>
          <w:tab w:val="left" w:pos="1467"/>
        </w:tabs>
        <w:jc w:val="center"/>
        <w:rPr>
          <w:noProof/>
        </w:rPr>
      </w:pPr>
    </w:p>
    <w:p w:rsidR="009666EB" w:rsidRDefault="009666EB" w:rsidP="0028363E">
      <w:pPr>
        <w:pStyle w:val="PlainText"/>
        <w:tabs>
          <w:tab w:val="left" w:pos="1467"/>
        </w:tabs>
        <w:rPr>
          <w:noProof/>
        </w:rPr>
      </w:pPr>
      <w:r>
        <w:rPr>
          <w:noProof/>
        </w:rPr>
        <w:t xml:space="preserve">Items for which there are more than one document, such as letters, </w:t>
      </w:r>
      <w:r w:rsidR="00D40AA8">
        <w:rPr>
          <w:noProof/>
        </w:rPr>
        <w:t>should be scanned into one continuous document and</w:t>
      </w:r>
      <w:r>
        <w:rPr>
          <w:noProof/>
        </w:rPr>
        <w:t xml:space="preserve"> labeled accordingly, per th</w:t>
      </w:r>
      <w:r w:rsidR="00D40AA8">
        <w:rPr>
          <w:noProof/>
        </w:rPr>
        <w:t>e Checklist/Table of Contents, ex: “17 Faculty Letters”  or “18 Student Letters”</w:t>
      </w:r>
      <w:r w:rsidR="0033191B">
        <w:rPr>
          <w:noProof/>
        </w:rPr>
        <w:t>:</w:t>
      </w:r>
      <w:r w:rsidR="00297F55">
        <w:rPr>
          <w:noProof/>
        </w:rPr>
        <w:br/>
      </w:r>
    </w:p>
    <w:p w:rsidR="0033191B" w:rsidRDefault="005D0C32" w:rsidP="003308B1">
      <w:pPr>
        <w:pStyle w:val="PlainText"/>
        <w:tabs>
          <w:tab w:val="left" w:pos="1467"/>
        </w:tabs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421982E5" wp14:editId="741F6518">
            <wp:extent cx="4694555" cy="2474259"/>
            <wp:effectExtent l="19050" t="19050" r="10795" b="215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7969"/>
                    <a:stretch/>
                  </pic:blipFill>
                  <pic:spPr bwMode="auto">
                    <a:xfrm>
                      <a:off x="0" y="0"/>
                      <a:ext cx="4708050" cy="24813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91B" w:rsidRDefault="0033191B" w:rsidP="0033191B">
      <w:pPr>
        <w:pStyle w:val="PlainText"/>
        <w:tabs>
          <w:tab w:val="left" w:pos="1467"/>
        </w:tabs>
        <w:jc w:val="center"/>
        <w:rPr>
          <w:noProof/>
        </w:rPr>
      </w:pPr>
    </w:p>
    <w:p w:rsidR="0033191B" w:rsidRDefault="0033191B" w:rsidP="009A312E">
      <w:pPr>
        <w:pStyle w:val="PlainText"/>
        <w:tabs>
          <w:tab w:val="left" w:pos="1467"/>
        </w:tabs>
        <w:rPr>
          <w:noProof/>
        </w:rPr>
      </w:pPr>
    </w:p>
    <w:p w:rsidR="002454E9" w:rsidRDefault="009666EB" w:rsidP="009A312E">
      <w:pPr>
        <w:pStyle w:val="PlainText"/>
        <w:tabs>
          <w:tab w:val="left" w:pos="1467"/>
        </w:tabs>
        <w:rPr>
          <w:noProof/>
        </w:rPr>
      </w:pPr>
      <w:r>
        <w:rPr>
          <w:noProof/>
        </w:rPr>
        <w:tab/>
      </w:r>
    </w:p>
    <w:p w:rsidR="002F1CCE" w:rsidRDefault="00BB12D8" w:rsidP="00F442B0">
      <w:pPr>
        <w:pStyle w:val="PlainText"/>
        <w:numPr>
          <w:ilvl w:val="0"/>
          <w:numId w:val="2"/>
        </w:numPr>
      </w:pPr>
      <w:r>
        <w:t>A</w:t>
      </w:r>
      <w:r w:rsidR="00FD7DB4">
        <w:t>ll</w:t>
      </w:r>
      <w:r>
        <w:t xml:space="preserve"> required documents should be in the dossier</w:t>
      </w:r>
      <w:r w:rsidR="00FC50CA">
        <w:t>,</w:t>
      </w:r>
      <w:r>
        <w:t xml:space="preserve"> making it complete</w:t>
      </w:r>
      <w:r w:rsidR="00FC50CA">
        <w:t>,</w:t>
      </w:r>
      <w:r>
        <w:t xml:space="preserve"> before </w:t>
      </w:r>
      <w:r w:rsidR="009601D5" w:rsidRPr="009601D5">
        <w:rPr>
          <w:highlight w:val="yellow"/>
        </w:rPr>
        <w:t>October 1, 2015</w:t>
      </w:r>
      <w:r w:rsidR="009601D5">
        <w:t>. D</w:t>
      </w:r>
      <w:r w:rsidR="00C21142">
        <w:t>ale Kaser will s</w:t>
      </w:r>
      <w:r w:rsidR="000D544A">
        <w:t>end the web address for each candidate dossier to only those area</w:t>
      </w:r>
      <w:r w:rsidR="00AA65F6">
        <w:t>s</w:t>
      </w:r>
      <w:r w:rsidR="000D544A">
        <w:t>/college committee members that will need to review them</w:t>
      </w:r>
      <w:r w:rsidR="00C81E2E">
        <w:t xml:space="preserve"> (they are the only ones who will be able to access the dossiers anyway).</w:t>
      </w:r>
    </w:p>
    <w:p w:rsidR="00BB12D8" w:rsidRDefault="0033191B" w:rsidP="004D6775">
      <w:pPr>
        <w:pStyle w:val="PlainText"/>
        <w:numPr>
          <w:ilvl w:val="0"/>
          <w:numId w:val="2"/>
        </w:numPr>
      </w:pPr>
      <w:r>
        <w:t xml:space="preserve">Before </w:t>
      </w:r>
      <w:r w:rsidR="009601D5" w:rsidRPr="009601D5">
        <w:rPr>
          <w:highlight w:val="yellow"/>
        </w:rPr>
        <w:t>October 30, 2015</w:t>
      </w:r>
      <w:r w:rsidR="009601D5">
        <w:t xml:space="preserve">, </w:t>
      </w:r>
      <w:r>
        <w:t>your chair and/or dean should have signed the proposal form, which should then be scanned</w:t>
      </w:r>
      <w:r w:rsidR="009666EB">
        <w:t xml:space="preserve"> and </w:t>
      </w:r>
      <w:r w:rsidR="00484F77">
        <w:t>uploaded to the dossier on the SharePoint site</w:t>
      </w:r>
      <w:r w:rsidR="00240992">
        <w:t>.  One original, hard copy</w:t>
      </w:r>
      <w:r w:rsidR="000D544A">
        <w:t xml:space="preserve"> </w:t>
      </w:r>
      <w:r w:rsidR="00484F77">
        <w:t xml:space="preserve">of the complete dossier </w:t>
      </w:r>
      <w:r w:rsidR="000D544A">
        <w:t>should be delivered to the Provost’s office by this date</w:t>
      </w:r>
      <w:r w:rsidR="009666EB">
        <w:t xml:space="preserve"> also</w:t>
      </w:r>
      <w:r w:rsidR="000D544A">
        <w:t>.</w:t>
      </w:r>
      <w:r w:rsidR="00240992">
        <w:t xml:space="preserve"> </w:t>
      </w:r>
    </w:p>
    <w:p w:rsidR="00C81E2E" w:rsidRDefault="00C81E2E" w:rsidP="004D6775">
      <w:pPr>
        <w:pStyle w:val="PlainText"/>
        <w:numPr>
          <w:ilvl w:val="0"/>
          <w:numId w:val="2"/>
        </w:numPr>
      </w:pPr>
      <w:r>
        <w:t xml:space="preserve">On </w:t>
      </w:r>
      <w:r w:rsidR="009601D5" w:rsidRPr="009601D5">
        <w:rPr>
          <w:highlight w:val="yellow"/>
        </w:rPr>
        <w:t>November 4, 2015</w:t>
      </w:r>
      <w:hyperlink r:id="rId23" w:history="1"/>
      <w:r>
        <w:t xml:space="preserve"> the Office of the Provost will make all dossiers available </w:t>
      </w:r>
      <w:r w:rsidR="00484F77">
        <w:t xml:space="preserve">electronically </w:t>
      </w:r>
      <w:r>
        <w:t>to the University Promotion and Tenure Committee.</w:t>
      </w:r>
    </w:p>
    <w:p w:rsidR="00EF77D4" w:rsidRDefault="00C81E2E" w:rsidP="003308B1">
      <w:pPr>
        <w:pStyle w:val="PlainText"/>
        <w:ind w:left="720"/>
      </w:pPr>
      <w:r>
        <w:t xml:space="preserve">Sometime after </w:t>
      </w:r>
      <w:r w:rsidR="009601D5" w:rsidRPr="009601D5">
        <w:rPr>
          <w:highlight w:val="yellow"/>
        </w:rPr>
        <w:t>December 5,</w:t>
      </w:r>
      <w:r w:rsidR="009601D5">
        <w:rPr>
          <w:highlight w:val="yellow"/>
        </w:rPr>
        <w:t xml:space="preserve"> </w:t>
      </w:r>
      <w:bookmarkStart w:id="0" w:name="_GoBack"/>
      <w:bookmarkEnd w:id="0"/>
      <w:r w:rsidR="009601D5" w:rsidRPr="009601D5">
        <w:rPr>
          <w:highlight w:val="yellow"/>
        </w:rPr>
        <w:t>2015</w:t>
      </w:r>
      <w:r>
        <w:t>, when the University has met to consider all dossiers for emeritus and their votes have been submitted to the provost, all dossiers will be deleted from the SharePoint site (</w:t>
      </w:r>
      <w:r w:rsidR="00484F77">
        <w:t xml:space="preserve">i.e., </w:t>
      </w:r>
      <w:r>
        <w:t>electronically shredded).</w:t>
      </w:r>
      <w:r w:rsidR="001C7B84">
        <w:br w:type="page"/>
      </w:r>
      <w:r w:rsidR="00EF77D4">
        <w:lastRenderedPageBreak/>
        <w:t>If you have any technical questions during preparation of the electronic dossier please call</w:t>
      </w:r>
      <w:r w:rsidR="007E6AA0">
        <w:t xml:space="preserve"> or e-mail</w:t>
      </w:r>
      <w:r w:rsidR="00EF77D4">
        <w:t>:</w:t>
      </w:r>
    </w:p>
    <w:p w:rsidR="00EF77D4" w:rsidRDefault="00EF77D4" w:rsidP="00F442B0">
      <w:pPr>
        <w:pStyle w:val="PlainText"/>
        <w:ind w:left="360"/>
      </w:pPr>
    </w:p>
    <w:p w:rsidR="00EF77D4" w:rsidRDefault="00EF77D4" w:rsidP="003308B1">
      <w:pPr>
        <w:pStyle w:val="PlainText"/>
        <w:ind w:left="360"/>
        <w:jc w:val="center"/>
      </w:pPr>
      <w:r>
        <w:t>Ms. Pam Lewis</w:t>
      </w:r>
      <w:r w:rsidR="00092C3E">
        <w:t xml:space="preserve"> – 288-3756 </w:t>
      </w:r>
      <w:hyperlink r:id="rId24" w:history="1">
        <w:r w:rsidR="00510A03" w:rsidRPr="00D61E72">
          <w:rPr>
            <w:rStyle w:val="Hyperlink"/>
          </w:rPr>
          <w:t>pamela.lewis@marquette.edu</w:t>
        </w:r>
      </w:hyperlink>
    </w:p>
    <w:p w:rsidR="001F0DD3" w:rsidRDefault="001F0DD3" w:rsidP="003308B1">
      <w:pPr>
        <w:pStyle w:val="PlainText"/>
        <w:ind w:left="360"/>
        <w:jc w:val="center"/>
      </w:pPr>
      <w:r>
        <w:t xml:space="preserve">The Help Desk – 288-7799 </w:t>
      </w:r>
      <w:hyperlink r:id="rId25" w:history="1">
        <w:r w:rsidRPr="00055AC0">
          <w:rPr>
            <w:rStyle w:val="Hyperlink"/>
          </w:rPr>
          <w:t>helpdesk@marquette.edu</w:t>
        </w:r>
      </w:hyperlink>
    </w:p>
    <w:p w:rsidR="00510A03" w:rsidRDefault="00510A03" w:rsidP="00F442B0">
      <w:pPr>
        <w:pStyle w:val="PlainText"/>
        <w:ind w:left="360"/>
      </w:pPr>
    </w:p>
    <w:p w:rsidR="00C81E2E" w:rsidRPr="005A2329" w:rsidRDefault="00361142" w:rsidP="00361142">
      <w:pPr>
        <w:pStyle w:val="PlainText"/>
        <w:jc w:val="center"/>
        <w:rPr>
          <w:b/>
        </w:rPr>
      </w:pPr>
      <w:r w:rsidRPr="005A2329">
        <w:rPr>
          <w:b/>
        </w:rPr>
        <w:t>Checklist/Table</w:t>
      </w:r>
      <w:r w:rsidR="005A2329" w:rsidRPr="005A2329">
        <w:rPr>
          <w:b/>
        </w:rPr>
        <w:t xml:space="preserve"> of Contents</w:t>
      </w:r>
    </w:p>
    <w:p w:rsidR="009666EB" w:rsidRPr="005A2329" w:rsidRDefault="005A2329" w:rsidP="005A2329">
      <w:pPr>
        <w:pStyle w:val="PlainText"/>
        <w:jc w:val="center"/>
        <w:rPr>
          <w:i/>
          <w:sz w:val="20"/>
          <w:szCs w:val="20"/>
        </w:rPr>
      </w:pPr>
      <w:r w:rsidRPr="005A2329">
        <w:rPr>
          <w:i/>
          <w:sz w:val="20"/>
          <w:szCs w:val="20"/>
        </w:rPr>
        <w:t>Please name all electronic files as listed below, including 2 digit numbers (but not items in parentheses)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1170"/>
        <w:gridCol w:w="1449"/>
      </w:tblGrid>
      <w:tr w:rsidR="00361142" w:rsidRPr="00361142" w:rsidTr="00361142">
        <w:trPr>
          <w:trHeight w:val="107"/>
          <w:jc w:val="center"/>
        </w:trPr>
        <w:tc>
          <w:tcPr>
            <w:tcW w:w="8838" w:type="dxa"/>
            <w:gridSpan w:val="3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36114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TITLES, ORDER, AND CHECKLIST OF MATERIALS TO BE INCLUDED IN DOSSIER </w:t>
            </w:r>
          </w:p>
        </w:tc>
      </w:tr>
      <w:tr w:rsidR="00361142" w:rsidRPr="00361142" w:rsidTr="00E03884">
        <w:trPr>
          <w:trHeight w:val="1080"/>
          <w:jc w:val="center"/>
        </w:trPr>
        <w:tc>
          <w:tcPr>
            <w:tcW w:w="621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b/>
                <w:color w:val="000000"/>
                <w:sz w:val="23"/>
                <w:szCs w:val="23"/>
              </w:rPr>
              <w:t xml:space="preserve">Key: </w:t>
            </w:r>
          </w:p>
          <w:p w:rsidR="001F0DD3" w:rsidRPr="001F0DD3" w:rsidRDefault="001F0DD3" w:rsidP="001F0DD3">
            <w:pPr>
              <w:tabs>
                <w:tab w:val="left" w:pos="2388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R=Required</w:t>
            </w:r>
          </w:p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color w:val="000000"/>
                <w:sz w:val="23"/>
                <w:szCs w:val="23"/>
              </w:rPr>
              <w:t xml:space="preserve">O=Optional </w:t>
            </w:r>
          </w:p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b/>
                <w:bCs/>
                <w:color w:val="000000"/>
                <w:sz w:val="23"/>
                <w:szCs w:val="23"/>
              </w:rPr>
              <w:t>Case Type</w:t>
            </w:r>
          </w:p>
        </w:tc>
        <w:tc>
          <w:tcPr>
            <w:tcW w:w="1449" w:type="dxa"/>
          </w:tcPr>
          <w:p w:rsidR="00361142" w:rsidRDefault="00361142" w:rsidP="003611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b/>
                <w:bCs/>
                <w:color w:val="000000"/>
                <w:sz w:val="23"/>
                <w:szCs w:val="23"/>
              </w:rPr>
              <w:t>Uploaded to Electronic Dossier</w:t>
            </w:r>
          </w:p>
          <w:p w:rsidR="00361142" w:rsidRPr="00361142" w:rsidRDefault="00361142" w:rsidP="003611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√</w:t>
            </w:r>
          </w:p>
        </w:tc>
      </w:tr>
      <w:tr w:rsidR="00361142" w:rsidRPr="00361142" w:rsidTr="00E03884">
        <w:trPr>
          <w:trHeight w:val="109"/>
          <w:jc w:val="center"/>
        </w:trPr>
        <w:tc>
          <w:tcPr>
            <w:tcW w:w="6219" w:type="dxa"/>
          </w:tcPr>
          <w:p w:rsidR="00361142" w:rsidRPr="00E03884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b/>
                <w:bCs/>
                <w:color w:val="000000"/>
              </w:rPr>
              <w:t xml:space="preserve">Item </w:t>
            </w:r>
          </w:p>
        </w:tc>
        <w:tc>
          <w:tcPr>
            <w:tcW w:w="1170" w:type="dxa"/>
          </w:tcPr>
          <w:p w:rsidR="00361142" w:rsidRPr="00361142" w:rsidRDefault="005A2329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Regular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695A60" w:rsidRPr="00E03884" w:rsidRDefault="005A2329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361142" w:rsidRPr="00E03884">
              <w:rPr>
                <w:rFonts w:cs="Calibri"/>
                <w:color w:val="000000"/>
              </w:rPr>
              <w:t>1 Proposal Form</w:t>
            </w:r>
            <w:r w:rsidR="00695A60">
              <w:rPr>
                <w:rFonts w:cs="Calibri"/>
                <w:color w:val="000000"/>
              </w:rPr>
              <w:t xml:space="preserve"> </w:t>
            </w:r>
            <w:r w:rsidR="00361142" w:rsidRPr="00E03884">
              <w:rPr>
                <w:rFonts w:cs="Calibri"/>
                <w:color w:val="000000"/>
              </w:rPr>
              <w:t xml:space="preserve"> </w:t>
            </w:r>
            <w:r w:rsidR="00695A60">
              <w:rPr>
                <w:rFonts w:cs="Calibri"/>
                <w:color w:val="000000"/>
              </w:rPr>
              <w:t xml:space="preserve">(use form on Provost’s webpage: </w:t>
            </w:r>
            <w:hyperlink r:id="rId26" w:history="1">
              <w:r w:rsidR="00695A60" w:rsidRPr="000257DB">
                <w:rPr>
                  <w:rStyle w:val="Hyperlink"/>
                  <w:rFonts w:cs="Calibri"/>
                </w:rPr>
                <w:t>http://www.marquette.edu/provost/promotion-tenure.shtml</w:t>
              </w:r>
            </w:hyperlink>
            <w:r w:rsidR="00695A60">
              <w:rPr>
                <w:rFonts w:cs="Calibri"/>
                <w:color w:val="000000"/>
              </w:rPr>
              <w:t xml:space="preserve">  )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E484D" w:rsidRPr="00361142" w:rsidTr="00E03884">
        <w:trPr>
          <w:trHeight w:val="202"/>
          <w:jc w:val="center"/>
        </w:trPr>
        <w:tc>
          <w:tcPr>
            <w:tcW w:w="6219" w:type="dxa"/>
          </w:tcPr>
          <w:p w:rsidR="00AE484D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2</w:t>
            </w:r>
            <w:r w:rsidRPr="00E03884">
              <w:rPr>
                <w:rFonts w:cs="Calibri"/>
                <w:color w:val="000000"/>
              </w:rPr>
              <w:t xml:space="preserve"> Department Recommendation</w:t>
            </w:r>
            <w:r w:rsidR="00C31E71">
              <w:rPr>
                <w:rFonts w:cs="Calibri"/>
                <w:color w:val="000000"/>
              </w:rPr>
              <w:t xml:space="preserve"> Including Department Vote </w:t>
            </w:r>
            <w:r w:rsidRPr="00E03884">
              <w:rPr>
                <w:rFonts w:cs="Calibri"/>
                <w:color w:val="000000"/>
              </w:rPr>
              <w:t xml:space="preserve"> </w:t>
            </w:r>
            <w:r w:rsidR="0033191B">
              <w:rPr>
                <w:rFonts w:cs="Calibri"/>
                <w:color w:val="000000"/>
              </w:rPr>
              <w:t xml:space="preserve"> </w:t>
            </w:r>
            <w:r w:rsidRPr="00E03884">
              <w:rPr>
                <w:rFonts w:cs="Calibri"/>
                <w:color w:val="000000"/>
              </w:rPr>
              <w:t>(Chair’s Summary)</w:t>
            </w:r>
          </w:p>
        </w:tc>
        <w:tc>
          <w:tcPr>
            <w:tcW w:w="1170" w:type="dxa"/>
          </w:tcPr>
          <w:p w:rsidR="00AE484D" w:rsidRPr="00361142" w:rsidRDefault="00AE484D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AE484D" w:rsidRPr="00361142" w:rsidRDefault="00AE484D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5A2329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3</w:t>
            </w:r>
            <w:r w:rsidR="00361142" w:rsidRPr="00E03884">
              <w:rPr>
                <w:rFonts w:cs="Calibri"/>
                <w:color w:val="000000"/>
              </w:rPr>
              <w:t xml:space="preserve"> Local (Area - College) Committee Recommendation 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4</w:t>
            </w:r>
            <w:r w:rsidR="00361142" w:rsidRPr="00E03884">
              <w:rPr>
                <w:rFonts w:cs="Calibri"/>
                <w:color w:val="000000"/>
              </w:rPr>
              <w:t xml:space="preserve"> Dean’s Summary with Recommendation 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5</w:t>
            </w:r>
            <w:r w:rsidR="00361142" w:rsidRPr="00E03884">
              <w:rPr>
                <w:rFonts w:cs="Calibri"/>
                <w:color w:val="000000"/>
              </w:rPr>
              <w:t xml:space="preserve"> Department </w:t>
            </w:r>
            <w:r w:rsidR="00C31E71">
              <w:rPr>
                <w:rFonts w:cs="Calibri"/>
                <w:color w:val="000000"/>
              </w:rPr>
              <w:t>and/</w:t>
            </w:r>
            <w:r w:rsidR="00361142" w:rsidRPr="00E03884">
              <w:rPr>
                <w:rFonts w:cs="Calibri"/>
                <w:color w:val="000000"/>
              </w:rPr>
              <w:t xml:space="preserve">or College Norms 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6</w:t>
            </w:r>
            <w:r w:rsidR="00361142" w:rsidRPr="00E03884">
              <w:rPr>
                <w:rFonts w:cs="Calibri"/>
                <w:color w:val="000000"/>
              </w:rPr>
              <w:t xml:space="preserve"> Candidate Curriculum Vitae (current work first) 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7</w:t>
            </w:r>
            <w:r w:rsidR="00361142" w:rsidRPr="00E03884">
              <w:rPr>
                <w:rFonts w:cs="Calibri"/>
                <w:color w:val="000000"/>
              </w:rPr>
              <w:t xml:space="preserve"> Third Year and Annual Reviews </w:t>
            </w:r>
          </w:p>
        </w:tc>
        <w:tc>
          <w:tcPr>
            <w:tcW w:w="1170" w:type="dxa"/>
          </w:tcPr>
          <w:p w:rsidR="00361142" w:rsidRPr="00361142" w:rsidRDefault="00AE484D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0</w:t>
            </w:r>
            <w:r w:rsidR="00C31E71">
              <w:rPr>
                <w:rFonts w:cs="Calibri"/>
                <w:color w:val="000000"/>
              </w:rPr>
              <w:t>8</w:t>
            </w:r>
            <w:r w:rsidR="00361142" w:rsidRPr="00E03884">
              <w:rPr>
                <w:rFonts w:cs="Calibri"/>
                <w:color w:val="000000"/>
              </w:rPr>
              <w:t xml:space="preserve"> </w:t>
            </w:r>
            <w:r w:rsidRPr="00E03884">
              <w:rPr>
                <w:rFonts w:cs="Calibri"/>
                <w:color w:val="000000"/>
              </w:rPr>
              <w:t>Teaching</w:t>
            </w:r>
            <w:r w:rsidR="00361142" w:rsidRPr="00E03884">
              <w:rPr>
                <w:rFonts w:cs="Calibri"/>
                <w:color w:val="000000"/>
              </w:rPr>
              <w:t xml:space="preserve"> </w:t>
            </w:r>
            <w:r w:rsidR="00DA64AE" w:rsidRPr="00E03884">
              <w:rPr>
                <w:rFonts w:cs="Calibri"/>
                <w:color w:val="000000"/>
              </w:rPr>
              <w:t>Evaluation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C31E71" w:rsidP="00AE484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09 </w:t>
            </w:r>
            <w:r w:rsidR="00361142" w:rsidRPr="00E03884">
              <w:rPr>
                <w:rFonts w:cs="Calibri"/>
                <w:color w:val="000000"/>
              </w:rPr>
              <w:t xml:space="preserve">Candidate Statement on Teaching </w:t>
            </w:r>
            <w:r w:rsidR="00AE484D" w:rsidRPr="00E03884">
              <w:rPr>
                <w:rFonts w:cs="Calibri"/>
                <w:color w:val="000000"/>
              </w:rPr>
              <w:t>Philosophy</w:t>
            </w:r>
          </w:p>
        </w:tc>
        <w:tc>
          <w:tcPr>
            <w:tcW w:w="1170" w:type="dxa"/>
          </w:tcPr>
          <w:p w:rsidR="00361142" w:rsidRPr="00361142" w:rsidRDefault="00AE484D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AE484D" w:rsidRPr="00361142" w:rsidTr="00E03884">
        <w:trPr>
          <w:trHeight w:val="202"/>
          <w:jc w:val="center"/>
        </w:trPr>
        <w:tc>
          <w:tcPr>
            <w:tcW w:w="6219" w:type="dxa"/>
          </w:tcPr>
          <w:p w:rsidR="00AE484D" w:rsidRPr="00E03884" w:rsidRDefault="00AE484D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0</w:t>
            </w:r>
            <w:r w:rsidRPr="00E03884">
              <w:rPr>
                <w:rFonts w:cs="Calibri"/>
                <w:color w:val="000000"/>
              </w:rPr>
              <w:t xml:space="preserve"> Required Data on Teaching</w:t>
            </w:r>
          </w:p>
        </w:tc>
        <w:tc>
          <w:tcPr>
            <w:tcW w:w="1170" w:type="dxa"/>
          </w:tcPr>
          <w:p w:rsidR="00AE484D" w:rsidRPr="00361142" w:rsidRDefault="00AE484D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AE484D" w:rsidRPr="00361142" w:rsidRDefault="00AE484D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361142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1</w:t>
            </w:r>
            <w:r w:rsidRPr="00E03884">
              <w:rPr>
                <w:rFonts w:cs="Calibri"/>
                <w:color w:val="000000"/>
              </w:rPr>
              <w:t xml:space="preserve"> </w:t>
            </w:r>
            <w:r w:rsidR="00DA64AE" w:rsidRPr="00E03884">
              <w:rPr>
                <w:rFonts w:eastAsia="Times New Roman" w:cs="Calibri"/>
              </w:rPr>
              <w:t>Research and Scholarship Evaluation</w:t>
            </w:r>
          </w:p>
        </w:tc>
        <w:tc>
          <w:tcPr>
            <w:tcW w:w="1170" w:type="dxa"/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</w:tcPr>
          <w:p w:rsidR="00361142" w:rsidRPr="00E03884" w:rsidRDefault="00361142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2</w:t>
            </w:r>
            <w:r w:rsidRPr="00E03884">
              <w:rPr>
                <w:rFonts w:cs="Calibri"/>
                <w:color w:val="000000"/>
              </w:rPr>
              <w:t xml:space="preserve"> Candidate’s Research </w:t>
            </w:r>
            <w:r w:rsidR="00DA64AE" w:rsidRPr="00E03884">
              <w:rPr>
                <w:rFonts w:cs="Calibri"/>
                <w:color w:val="000000"/>
              </w:rPr>
              <w:t xml:space="preserve">Philosophy Statement </w:t>
            </w:r>
            <w:r w:rsidR="00E03884">
              <w:rPr>
                <w:rFonts w:cs="Calibri"/>
                <w:color w:val="000000"/>
              </w:rPr>
              <w:t>&amp;</w:t>
            </w:r>
            <w:r w:rsidR="00DA64AE" w:rsidRPr="00E03884">
              <w:rPr>
                <w:rFonts w:cs="Calibri"/>
                <w:color w:val="000000"/>
              </w:rPr>
              <w:t xml:space="preserve"> Research Agenda</w:t>
            </w:r>
          </w:p>
        </w:tc>
        <w:tc>
          <w:tcPr>
            <w:tcW w:w="1170" w:type="dxa"/>
          </w:tcPr>
          <w:p w:rsidR="00361142" w:rsidRPr="00361142" w:rsidRDefault="00AE484D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DA64AE" w:rsidRPr="00361142" w:rsidTr="00E03884">
        <w:trPr>
          <w:trHeight w:val="202"/>
          <w:jc w:val="center"/>
        </w:trPr>
        <w:tc>
          <w:tcPr>
            <w:tcW w:w="6219" w:type="dxa"/>
            <w:tcBorders>
              <w:bottom w:val="nil"/>
            </w:tcBorders>
          </w:tcPr>
          <w:p w:rsidR="00DA64AE" w:rsidRPr="00E03884" w:rsidRDefault="00DA64AE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3</w:t>
            </w:r>
            <w:r w:rsidRPr="00E03884">
              <w:rPr>
                <w:rFonts w:cs="Calibri"/>
                <w:color w:val="000000"/>
              </w:rPr>
              <w:t xml:space="preserve"> Required Data on Research and Scholarship</w:t>
            </w:r>
          </w:p>
        </w:tc>
        <w:tc>
          <w:tcPr>
            <w:tcW w:w="1170" w:type="dxa"/>
            <w:tcBorders>
              <w:bottom w:val="nil"/>
            </w:tcBorders>
          </w:tcPr>
          <w:p w:rsidR="00DA64AE" w:rsidRPr="00361142" w:rsidRDefault="00DA64AE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bottom w:val="nil"/>
            </w:tcBorders>
          </w:tcPr>
          <w:p w:rsidR="00DA64AE" w:rsidRPr="00361142" w:rsidRDefault="00DA64AE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  <w:tcBorders>
              <w:bottom w:val="nil"/>
            </w:tcBorders>
          </w:tcPr>
          <w:p w:rsidR="00361142" w:rsidRPr="00E03884" w:rsidRDefault="00361142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4</w:t>
            </w:r>
            <w:r w:rsidRPr="00E03884">
              <w:rPr>
                <w:rFonts w:cs="Calibri"/>
                <w:color w:val="000000"/>
              </w:rPr>
              <w:t xml:space="preserve"> Service Evaluation </w:t>
            </w:r>
          </w:p>
        </w:tc>
        <w:tc>
          <w:tcPr>
            <w:tcW w:w="1170" w:type="dxa"/>
            <w:tcBorders>
              <w:bottom w:val="nil"/>
            </w:tcBorders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bottom w:val="nil"/>
            </w:tcBorders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A64AE" w:rsidRPr="00361142" w:rsidTr="00E03884">
        <w:trPr>
          <w:trHeight w:val="202"/>
          <w:jc w:val="center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DA64AE" w:rsidRPr="00E03884" w:rsidRDefault="00DA64AE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5</w:t>
            </w:r>
            <w:r w:rsidRPr="00E03884">
              <w:rPr>
                <w:rFonts w:cs="Calibri"/>
                <w:color w:val="000000"/>
              </w:rPr>
              <w:t xml:space="preserve"> Listing of Service Activities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A64AE" w:rsidRPr="00361142" w:rsidRDefault="00DA64AE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DA64AE" w:rsidRPr="00361142" w:rsidRDefault="00DA64AE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A64AE" w:rsidRPr="00361142" w:rsidTr="00E03884">
        <w:trPr>
          <w:trHeight w:val="202"/>
          <w:jc w:val="center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DA64AE" w:rsidRPr="00E03884" w:rsidRDefault="00DA64AE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6</w:t>
            </w:r>
            <w:r w:rsidRPr="00E03884">
              <w:rPr>
                <w:rFonts w:cs="Calibri"/>
                <w:color w:val="000000"/>
              </w:rPr>
              <w:t xml:space="preserve"> Department Policy of Peer Review of Teaching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A64AE" w:rsidRPr="00361142" w:rsidRDefault="00DA64AE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DA64AE" w:rsidRPr="00361142" w:rsidRDefault="00DA64AE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1142" w:rsidRPr="00361142" w:rsidTr="00E03884">
        <w:trPr>
          <w:trHeight w:val="202"/>
          <w:jc w:val="center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361142" w:rsidRPr="0033191B" w:rsidRDefault="00361142" w:rsidP="00C31E71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7</w:t>
            </w:r>
            <w:r w:rsidRPr="00E03884">
              <w:rPr>
                <w:rFonts w:cs="Calibri"/>
                <w:color w:val="000000"/>
              </w:rPr>
              <w:t xml:space="preserve"> Faculty Letters </w:t>
            </w:r>
            <w:r w:rsidR="0033191B">
              <w:rPr>
                <w:rFonts w:cs="Calibri"/>
                <w:i/>
                <w:color w:val="000000"/>
                <w:sz w:val="20"/>
                <w:szCs w:val="20"/>
              </w:rPr>
              <w:t>(please scan all letters into a single file)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61142" w:rsidRPr="00361142" w:rsidRDefault="00361142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361142" w:rsidRPr="00361142" w:rsidRDefault="00361142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A64AE" w:rsidRPr="00361142" w:rsidTr="00E03884">
        <w:trPr>
          <w:trHeight w:val="202"/>
          <w:jc w:val="center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DA64AE" w:rsidRPr="00E03884" w:rsidRDefault="00DA64AE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1</w:t>
            </w:r>
            <w:r w:rsidR="00C31E71">
              <w:rPr>
                <w:rFonts w:cs="Calibri"/>
                <w:color w:val="000000"/>
              </w:rPr>
              <w:t>8</w:t>
            </w:r>
            <w:r w:rsidRPr="00E03884">
              <w:rPr>
                <w:rFonts w:cs="Calibri"/>
                <w:color w:val="000000"/>
              </w:rPr>
              <w:t xml:space="preserve"> Student Letters</w:t>
            </w:r>
            <w:r w:rsidR="0033191B">
              <w:rPr>
                <w:rFonts w:cs="Calibri"/>
                <w:color w:val="000000"/>
              </w:rPr>
              <w:t xml:space="preserve"> </w:t>
            </w:r>
            <w:r w:rsidR="0033191B" w:rsidRPr="0033191B">
              <w:rPr>
                <w:rFonts w:cs="Calibri"/>
                <w:i/>
                <w:color w:val="000000"/>
                <w:sz w:val="20"/>
                <w:szCs w:val="20"/>
              </w:rPr>
              <w:t>(please scan all letters into a single file)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A64AE" w:rsidRPr="00361142" w:rsidRDefault="00DA64AE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DA64AE" w:rsidRPr="00361142" w:rsidRDefault="00DA64AE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A64AE" w:rsidRPr="00361142" w:rsidTr="00E03884">
        <w:trPr>
          <w:trHeight w:val="202"/>
          <w:jc w:val="center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DA64AE" w:rsidRPr="0033191B" w:rsidRDefault="00C31E71" w:rsidP="00DA64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19 </w:t>
            </w:r>
            <w:r w:rsidR="00DA64AE" w:rsidRPr="00E03884">
              <w:rPr>
                <w:rFonts w:cs="Calibri"/>
                <w:color w:val="000000"/>
              </w:rPr>
              <w:t>External Reviewers Letters</w:t>
            </w:r>
            <w:r w:rsidR="0033191B">
              <w:rPr>
                <w:rFonts w:cs="Calibri"/>
                <w:color w:val="000000"/>
              </w:rPr>
              <w:t xml:space="preserve"> </w:t>
            </w:r>
            <w:r w:rsidR="0033191B">
              <w:rPr>
                <w:rFonts w:cs="Calibri"/>
                <w:i/>
                <w:color w:val="000000"/>
                <w:sz w:val="20"/>
                <w:szCs w:val="20"/>
              </w:rPr>
              <w:t>(please scan all letters into a single file)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A64AE" w:rsidRPr="00361142" w:rsidRDefault="00DA64AE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61142">
              <w:rPr>
                <w:rFonts w:cs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DA64AE" w:rsidRPr="00361142" w:rsidRDefault="00DA64AE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A64AE" w:rsidRPr="00361142" w:rsidTr="00E03884">
        <w:trPr>
          <w:trHeight w:val="202"/>
          <w:jc w:val="center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DA64AE" w:rsidRPr="00E03884" w:rsidRDefault="00DA64AE" w:rsidP="00C31E7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03884">
              <w:rPr>
                <w:rFonts w:cs="Calibri"/>
                <w:color w:val="000000"/>
              </w:rPr>
              <w:t>2</w:t>
            </w:r>
            <w:r w:rsidR="00C31E71">
              <w:rPr>
                <w:rFonts w:cs="Calibri"/>
                <w:color w:val="000000"/>
              </w:rPr>
              <w:t>0</w:t>
            </w:r>
            <w:r w:rsidRPr="00E03884">
              <w:rPr>
                <w:rFonts w:cs="Calibri"/>
                <w:color w:val="000000"/>
              </w:rPr>
              <w:t xml:space="preserve"> Candidate Addendum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A64AE" w:rsidRPr="00DA64AE" w:rsidRDefault="00DA64AE" w:rsidP="005A232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64AE">
              <w:rPr>
                <w:rFonts w:cs="Calibri"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DA64AE" w:rsidRPr="00361142" w:rsidRDefault="00DA64AE" w:rsidP="0036114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9666EB" w:rsidRDefault="009666EB" w:rsidP="00510A03">
      <w:pPr>
        <w:pStyle w:val="PlainText"/>
      </w:pPr>
    </w:p>
    <w:sectPr w:rsidR="009666EB" w:rsidSect="003327A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94" w:rsidRDefault="001A1494" w:rsidP="00361142">
      <w:r>
        <w:separator/>
      </w:r>
    </w:p>
  </w:endnote>
  <w:endnote w:type="continuationSeparator" w:id="0">
    <w:p w:rsidR="001A1494" w:rsidRDefault="001A1494" w:rsidP="003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08" w:rsidRDefault="00431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A6" w:rsidRDefault="008805A6">
    <w:pPr>
      <w:pStyle w:val="Footer"/>
    </w:pPr>
    <w:r>
      <w:t>Updated 7/</w:t>
    </w:r>
    <w:r w:rsidR="00431508">
      <w:t>1</w:t>
    </w:r>
    <w:r>
      <w:t>/201</w:t>
    </w:r>
    <w:r w:rsidR="00431508">
      <w:t>5</w:t>
    </w:r>
    <w:r w:rsidR="00994B63">
      <w:t xml:space="preserve">                                                                                                                                                     Page </w:t>
    </w:r>
    <w:r w:rsidR="00994B63">
      <w:rPr>
        <w:b/>
        <w:bCs/>
      </w:rPr>
      <w:fldChar w:fldCharType="begin"/>
    </w:r>
    <w:r w:rsidR="00994B63">
      <w:rPr>
        <w:b/>
        <w:bCs/>
      </w:rPr>
      <w:instrText xml:space="preserve"> PAGE  \* Arabic  \* MERGEFORMAT </w:instrText>
    </w:r>
    <w:r w:rsidR="00994B63">
      <w:rPr>
        <w:b/>
        <w:bCs/>
      </w:rPr>
      <w:fldChar w:fldCharType="separate"/>
    </w:r>
    <w:r w:rsidR="00C154C8">
      <w:rPr>
        <w:b/>
        <w:bCs/>
        <w:noProof/>
      </w:rPr>
      <w:t>6</w:t>
    </w:r>
    <w:r w:rsidR="00994B63">
      <w:rPr>
        <w:b/>
        <w:bCs/>
      </w:rPr>
      <w:fldChar w:fldCharType="end"/>
    </w:r>
    <w:r w:rsidR="00994B63">
      <w:t xml:space="preserve"> of </w:t>
    </w:r>
    <w:r w:rsidR="00994B63">
      <w:rPr>
        <w:b/>
        <w:bCs/>
      </w:rPr>
      <w:fldChar w:fldCharType="begin"/>
    </w:r>
    <w:r w:rsidR="00994B63">
      <w:rPr>
        <w:b/>
        <w:bCs/>
      </w:rPr>
      <w:instrText xml:space="preserve"> NUMPAGES  \* Arabic  \* MERGEFORMAT </w:instrText>
    </w:r>
    <w:r w:rsidR="00994B63">
      <w:rPr>
        <w:b/>
        <w:bCs/>
      </w:rPr>
      <w:fldChar w:fldCharType="separate"/>
    </w:r>
    <w:r w:rsidR="00C154C8">
      <w:rPr>
        <w:b/>
        <w:bCs/>
        <w:noProof/>
      </w:rPr>
      <w:t>7</w:t>
    </w:r>
    <w:r w:rsidR="00994B63">
      <w:rPr>
        <w:b/>
        <w:bCs/>
      </w:rPr>
      <w:fldChar w:fldCharType="end"/>
    </w:r>
  </w:p>
  <w:p w:rsidR="0028363E" w:rsidRDefault="00283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08" w:rsidRDefault="00431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94" w:rsidRDefault="001A1494" w:rsidP="00361142">
      <w:r>
        <w:separator/>
      </w:r>
    </w:p>
  </w:footnote>
  <w:footnote w:type="continuationSeparator" w:id="0">
    <w:p w:rsidR="001A1494" w:rsidRDefault="001A1494" w:rsidP="0036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08" w:rsidRDefault="00431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08" w:rsidRDefault="00431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08" w:rsidRDefault="00431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4A9"/>
    <w:multiLevelType w:val="hybridMultilevel"/>
    <w:tmpl w:val="54B8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2524"/>
    <w:multiLevelType w:val="hybridMultilevel"/>
    <w:tmpl w:val="FC98E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234680"/>
    <w:multiLevelType w:val="hybridMultilevel"/>
    <w:tmpl w:val="1F16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E"/>
    <w:rsid w:val="00003DE6"/>
    <w:rsid w:val="000104F5"/>
    <w:rsid w:val="00011CE1"/>
    <w:rsid w:val="000438E9"/>
    <w:rsid w:val="000575BD"/>
    <w:rsid w:val="00070558"/>
    <w:rsid w:val="00092C3E"/>
    <w:rsid w:val="000D544A"/>
    <w:rsid w:val="000F29D4"/>
    <w:rsid w:val="00101922"/>
    <w:rsid w:val="001130CD"/>
    <w:rsid w:val="00117229"/>
    <w:rsid w:val="001438DA"/>
    <w:rsid w:val="00147210"/>
    <w:rsid w:val="00172C3D"/>
    <w:rsid w:val="0017768E"/>
    <w:rsid w:val="00182DD7"/>
    <w:rsid w:val="00190147"/>
    <w:rsid w:val="001A1494"/>
    <w:rsid w:val="001B3EEF"/>
    <w:rsid w:val="001C2A33"/>
    <w:rsid w:val="001C7B84"/>
    <w:rsid w:val="001F0DD3"/>
    <w:rsid w:val="00207133"/>
    <w:rsid w:val="00213EAD"/>
    <w:rsid w:val="00233951"/>
    <w:rsid w:val="00240992"/>
    <w:rsid w:val="002454E9"/>
    <w:rsid w:val="002478D9"/>
    <w:rsid w:val="0028363E"/>
    <w:rsid w:val="002969A8"/>
    <w:rsid w:val="00297F55"/>
    <w:rsid w:val="002A69B0"/>
    <w:rsid w:val="002C70F8"/>
    <w:rsid w:val="002F1CCE"/>
    <w:rsid w:val="002F6C15"/>
    <w:rsid w:val="00316B10"/>
    <w:rsid w:val="00317FEB"/>
    <w:rsid w:val="003308B1"/>
    <w:rsid w:val="0033191B"/>
    <w:rsid w:val="003327A1"/>
    <w:rsid w:val="00361142"/>
    <w:rsid w:val="00367628"/>
    <w:rsid w:val="00394C43"/>
    <w:rsid w:val="003B336F"/>
    <w:rsid w:val="003C680C"/>
    <w:rsid w:val="003E32AC"/>
    <w:rsid w:val="003F160F"/>
    <w:rsid w:val="00427F26"/>
    <w:rsid w:val="00431508"/>
    <w:rsid w:val="0044124A"/>
    <w:rsid w:val="0046602F"/>
    <w:rsid w:val="00476D8E"/>
    <w:rsid w:val="00484F77"/>
    <w:rsid w:val="004D6775"/>
    <w:rsid w:val="004E0E28"/>
    <w:rsid w:val="004E0FC8"/>
    <w:rsid w:val="004F42F3"/>
    <w:rsid w:val="00510725"/>
    <w:rsid w:val="00510A03"/>
    <w:rsid w:val="005303CD"/>
    <w:rsid w:val="0054216F"/>
    <w:rsid w:val="00571123"/>
    <w:rsid w:val="00594C68"/>
    <w:rsid w:val="005A2329"/>
    <w:rsid w:val="005B38CA"/>
    <w:rsid w:val="005C37F5"/>
    <w:rsid w:val="005D0C32"/>
    <w:rsid w:val="005E1A2B"/>
    <w:rsid w:val="005E6D06"/>
    <w:rsid w:val="005F4F8C"/>
    <w:rsid w:val="00600889"/>
    <w:rsid w:val="00614766"/>
    <w:rsid w:val="00623EBB"/>
    <w:rsid w:val="00631E52"/>
    <w:rsid w:val="00655E23"/>
    <w:rsid w:val="006609B2"/>
    <w:rsid w:val="00690108"/>
    <w:rsid w:val="00695A60"/>
    <w:rsid w:val="006D791D"/>
    <w:rsid w:val="0070082D"/>
    <w:rsid w:val="00713D1F"/>
    <w:rsid w:val="00714FAF"/>
    <w:rsid w:val="007320A6"/>
    <w:rsid w:val="00761799"/>
    <w:rsid w:val="007E100C"/>
    <w:rsid w:val="007E6AA0"/>
    <w:rsid w:val="00843C23"/>
    <w:rsid w:val="0084596B"/>
    <w:rsid w:val="00847064"/>
    <w:rsid w:val="008805A6"/>
    <w:rsid w:val="00890E43"/>
    <w:rsid w:val="008B0F46"/>
    <w:rsid w:val="008B17D4"/>
    <w:rsid w:val="008C01BE"/>
    <w:rsid w:val="00921897"/>
    <w:rsid w:val="00921A84"/>
    <w:rsid w:val="00943292"/>
    <w:rsid w:val="009550E9"/>
    <w:rsid w:val="009601D5"/>
    <w:rsid w:val="009666EB"/>
    <w:rsid w:val="00994B63"/>
    <w:rsid w:val="009A312E"/>
    <w:rsid w:val="009B0916"/>
    <w:rsid w:val="009B4C5D"/>
    <w:rsid w:val="009B7E98"/>
    <w:rsid w:val="009E72B2"/>
    <w:rsid w:val="009F5CCC"/>
    <w:rsid w:val="00A04BEB"/>
    <w:rsid w:val="00A12B0C"/>
    <w:rsid w:val="00A72B5B"/>
    <w:rsid w:val="00AA4BA0"/>
    <w:rsid w:val="00AA65F6"/>
    <w:rsid w:val="00AB1F5A"/>
    <w:rsid w:val="00AB64C7"/>
    <w:rsid w:val="00AC03B9"/>
    <w:rsid w:val="00AC2772"/>
    <w:rsid w:val="00AE3145"/>
    <w:rsid w:val="00AE484D"/>
    <w:rsid w:val="00B169E6"/>
    <w:rsid w:val="00B16C87"/>
    <w:rsid w:val="00B44CB1"/>
    <w:rsid w:val="00B90DAE"/>
    <w:rsid w:val="00BA4A7B"/>
    <w:rsid w:val="00BA53ED"/>
    <w:rsid w:val="00BB12D8"/>
    <w:rsid w:val="00BC3403"/>
    <w:rsid w:val="00BF522C"/>
    <w:rsid w:val="00C0640C"/>
    <w:rsid w:val="00C116AE"/>
    <w:rsid w:val="00C11B8C"/>
    <w:rsid w:val="00C154C8"/>
    <w:rsid w:val="00C21142"/>
    <w:rsid w:val="00C31E71"/>
    <w:rsid w:val="00C57595"/>
    <w:rsid w:val="00C81E2E"/>
    <w:rsid w:val="00CE19B2"/>
    <w:rsid w:val="00CF7AE2"/>
    <w:rsid w:val="00CF7D6B"/>
    <w:rsid w:val="00D0347A"/>
    <w:rsid w:val="00D270CC"/>
    <w:rsid w:val="00D40AA8"/>
    <w:rsid w:val="00D5249C"/>
    <w:rsid w:val="00D63FC0"/>
    <w:rsid w:val="00D76C30"/>
    <w:rsid w:val="00D95865"/>
    <w:rsid w:val="00DA10FD"/>
    <w:rsid w:val="00DA4783"/>
    <w:rsid w:val="00DA64AE"/>
    <w:rsid w:val="00DB5F24"/>
    <w:rsid w:val="00DE39A3"/>
    <w:rsid w:val="00DF288E"/>
    <w:rsid w:val="00E03884"/>
    <w:rsid w:val="00E52887"/>
    <w:rsid w:val="00E61B84"/>
    <w:rsid w:val="00E657FA"/>
    <w:rsid w:val="00E95144"/>
    <w:rsid w:val="00EA3AA4"/>
    <w:rsid w:val="00EF77D4"/>
    <w:rsid w:val="00F352B9"/>
    <w:rsid w:val="00F36285"/>
    <w:rsid w:val="00F3784A"/>
    <w:rsid w:val="00F442B0"/>
    <w:rsid w:val="00F452D2"/>
    <w:rsid w:val="00F86816"/>
    <w:rsid w:val="00F95CBE"/>
    <w:rsid w:val="00FA46D1"/>
    <w:rsid w:val="00FB5C7E"/>
    <w:rsid w:val="00FC124F"/>
    <w:rsid w:val="00FC50CA"/>
    <w:rsid w:val="00FD7DB4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DD43F-C3F9-4197-9EA8-522B8C0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64C7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1CCE"/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2F1CCE"/>
    <w:rPr>
      <w:rFonts w:cs="Consolas"/>
      <w:sz w:val="22"/>
      <w:szCs w:val="21"/>
    </w:rPr>
  </w:style>
  <w:style w:type="character" w:styleId="Hyperlink">
    <w:name w:val="Hyperlink"/>
    <w:uiPriority w:val="99"/>
    <w:unhideWhenUsed/>
    <w:rsid w:val="000D5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1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14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B5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F24"/>
    <w:rPr>
      <w:b/>
      <w:bCs/>
    </w:rPr>
  </w:style>
  <w:style w:type="paragraph" w:styleId="Revision">
    <w:name w:val="Revision"/>
    <w:hidden/>
    <w:uiPriority w:val="99"/>
    <w:semiHidden/>
    <w:rsid w:val="0069010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A69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marquette.edu/provost/promotion-tenure.s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helpdesk@marquette.ed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quette.edu/its/help/software/configure.shtml" TargetMode="External"/><Relationship Id="rId24" Type="http://schemas.openxmlformats.org/officeDocument/2006/relationships/hyperlink" Target="mailto:pamela.lewis@marquette.edu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www.marquette.edu/provost/documents/PromotionandTenureCalendarDeadlinesfor2014-15.pd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d4e28b-c76f-4897-92fc-c03aec453d36"/>
    <TaxKeywordTaxHTField xmlns="f7d4e28b-c76f-4897-92fc-c03aec453d36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13429BD216439135AA099ABAC987" ma:contentTypeVersion="" ma:contentTypeDescription="Create a new document." ma:contentTypeScope="" ma:versionID="d46cb0de7866dc368d65bc5195e06609">
  <xsd:schema xmlns:xsd="http://www.w3.org/2001/XMLSchema" xmlns:xs="http://www.w3.org/2001/XMLSchema" xmlns:p="http://schemas.microsoft.com/office/2006/metadata/properties" xmlns:ns2="f7d4e28b-c76f-4897-92fc-c03aec453d36" targetNamespace="http://schemas.microsoft.com/office/2006/metadata/properties" ma:root="true" ma:fieldsID="db752594f423d66c613f9b204e0d89de" ns2:_="">
    <xsd:import namespace="f7d4e28b-c76f-4897-92fc-c03aec453d3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e28b-c76f-4897-92fc-c03aec453d3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7b7479-38a6-4f8a-918d-51c090a7e32b}" ma:internalName="TaxCatchAll" ma:showField="CatchAllData" ma:web="f7d4e28b-c76f-4897-92fc-c03aec453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7b7479-38a6-4f8a-918d-51c090a7e32b}" ma:internalName="TaxCatchAllLabel" ma:readOnly="true" ma:showField="CatchAllDataLabel" ma:web="f7d4e28b-c76f-4897-92fc-c03aec453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2C276-C2C9-4965-BBD3-9701861E3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BACCA-C67B-436E-AA44-6348725D6402}">
  <ds:schemaRefs>
    <ds:schemaRef ds:uri="http://purl.org/dc/elements/1.1/"/>
    <ds:schemaRef ds:uri="http://purl.org/dc/terms/"/>
    <ds:schemaRef ds:uri="f7d4e28b-c76f-4897-92fc-c03aec45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4B12B-6968-4D9C-9D2F-D9F7AED1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4e28b-c76f-4897-92fc-c03aec45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6089</CharactersWithSpaces>
  <SharedDoc>false</SharedDoc>
  <HLinks>
    <vt:vector size="60" baseType="variant">
      <vt:variant>
        <vt:i4>7340087</vt:i4>
      </vt:variant>
      <vt:variant>
        <vt:i4>39</vt:i4>
      </vt:variant>
      <vt:variant>
        <vt:i4>0</vt:i4>
      </vt:variant>
      <vt:variant>
        <vt:i4>5</vt:i4>
      </vt:variant>
      <vt:variant>
        <vt:lpwstr>http://www.marquette.edu/provost/promotion-tenure.shtml</vt:lpwstr>
      </vt:variant>
      <vt:variant>
        <vt:lpwstr/>
      </vt:variant>
      <vt:variant>
        <vt:i4>7995471</vt:i4>
      </vt:variant>
      <vt:variant>
        <vt:i4>36</vt:i4>
      </vt:variant>
      <vt:variant>
        <vt:i4>0</vt:i4>
      </vt:variant>
      <vt:variant>
        <vt:i4>5</vt:i4>
      </vt:variant>
      <vt:variant>
        <vt:lpwstr>mailto:helpdesk@marquette.edu</vt:lpwstr>
      </vt:variant>
      <vt:variant>
        <vt:lpwstr/>
      </vt:variant>
      <vt:variant>
        <vt:i4>3801177</vt:i4>
      </vt:variant>
      <vt:variant>
        <vt:i4>33</vt:i4>
      </vt:variant>
      <vt:variant>
        <vt:i4>0</vt:i4>
      </vt:variant>
      <vt:variant>
        <vt:i4>5</vt:i4>
      </vt:variant>
      <vt:variant>
        <vt:lpwstr>mailto:pamela.lewis@marquette.edu</vt:lpwstr>
      </vt:variant>
      <vt:variant>
        <vt:lpwstr/>
      </vt:variant>
      <vt:variant>
        <vt:i4>5505096</vt:i4>
      </vt:variant>
      <vt:variant>
        <vt:i4>30</vt:i4>
      </vt:variant>
      <vt:variant>
        <vt:i4>0</vt:i4>
      </vt:variant>
      <vt:variant>
        <vt:i4>5</vt:i4>
      </vt:variant>
      <vt:variant>
        <vt:lpwstr>http://www.marquette.edu/provost/documents/PromotionandTenureCalendarDeadlinesfor2014-15.pdf</vt:lpwstr>
      </vt:variant>
      <vt:variant>
        <vt:lpwstr/>
      </vt:variant>
      <vt:variant>
        <vt:i4>5505096</vt:i4>
      </vt:variant>
      <vt:variant>
        <vt:i4>27</vt:i4>
      </vt:variant>
      <vt:variant>
        <vt:i4>0</vt:i4>
      </vt:variant>
      <vt:variant>
        <vt:i4>5</vt:i4>
      </vt:variant>
      <vt:variant>
        <vt:lpwstr>http://www.marquette.edu/provost/documents/PromotionandTenureCalendarDeadlinesfor2014-15.pdf</vt:lpwstr>
      </vt:variant>
      <vt:variant>
        <vt:lpwstr/>
      </vt:variant>
      <vt:variant>
        <vt:i4>5505096</vt:i4>
      </vt:variant>
      <vt:variant>
        <vt:i4>24</vt:i4>
      </vt:variant>
      <vt:variant>
        <vt:i4>0</vt:i4>
      </vt:variant>
      <vt:variant>
        <vt:i4>5</vt:i4>
      </vt:variant>
      <vt:variant>
        <vt:lpwstr>http://www.marquette.edu/provost/documents/PromotionandTenureCalendarDeadlinesfor2014-15.pdf</vt:lpwstr>
      </vt:variant>
      <vt:variant>
        <vt:lpwstr/>
      </vt:variant>
      <vt:variant>
        <vt:i4>5505096</vt:i4>
      </vt:variant>
      <vt:variant>
        <vt:i4>21</vt:i4>
      </vt:variant>
      <vt:variant>
        <vt:i4>0</vt:i4>
      </vt:variant>
      <vt:variant>
        <vt:i4>5</vt:i4>
      </vt:variant>
      <vt:variant>
        <vt:lpwstr>http://www.marquette.edu/provost/documents/PromotionandTenureCalendarDeadlinesfor2014-15.pdf</vt:lpwstr>
      </vt:variant>
      <vt:variant>
        <vt:lpwstr/>
      </vt:variant>
      <vt:variant>
        <vt:i4>5505096</vt:i4>
      </vt:variant>
      <vt:variant>
        <vt:i4>18</vt:i4>
      </vt:variant>
      <vt:variant>
        <vt:i4>0</vt:i4>
      </vt:variant>
      <vt:variant>
        <vt:i4>5</vt:i4>
      </vt:variant>
      <vt:variant>
        <vt:lpwstr>http://www.marquette.edu/provost/documents/PromotionandTenureCalendarDeadlinesfor2014-15.pdf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http://www.marquette.edu/its/help/software/configure.shtml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http://www.marquette.edu/its/help/sharepoint/documents/sharepointoffcampus.pdf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Kaser, Dale</cp:lastModifiedBy>
  <cp:revision>2</cp:revision>
  <cp:lastPrinted>2014-07-11T20:44:00Z</cp:lastPrinted>
  <dcterms:created xsi:type="dcterms:W3CDTF">2015-09-16T14:50:00Z</dcterms:created>
  <dcterms:modified xsi:type="dcterms:W3CDTF">2015-09-16T14:50:00Z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0x0101009DB413429BD216439135AA099ABAC987</vt:lpwstr>
  </property>
  <property fmtid="{D5CDD505-2E9C-101B-9397-08002B2CF9AE}" pid="3" name="TaxKeyword">
    <vt:lpwstr/>
  </property>
</Properties>
</file>