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63D9" w:rsidR="006463D9" w:rsidP="006463D9" w:rsidRDefault="006463D9" w14:paraId="2D6A1AB8" w14:textId="06B8A785">
      <w:pPr>
        <w:jc w:val="center"/>
      </w:pPr>
      <w:r w:rsidRPr="006463D9">
        <w:rPr>
          <w:b/>
          <w:bCs/>
        </w:rPr>
        <w:t>MCC Committee Agenda</w:t>
      </w:r>
    </w:p>
    <w:p w:rsidRPr="006463D9" w:rsidR="006463D9" w:rsidP="006463D9" w:rsidRDefault="00FC4DC6" w14:paraId="5A8FC2A9" w14:textId="2174AE87">
      <w:pPr>
        <w:jc w:val="center"/>
      </w:pPr>
      <w:r>
        <w:rPr>
          <w:b/>
          <w:bCs/>
        </w:rPr>
        <w:t>October 18,</w:t>
      </w:r>
      <w:r w:rsidRPr="006463D9" w:rsidR="006463D9">
        <w:rPr>
          <w:b/>
          <w:bCs/>
        </w:rPr>
        <w:t> 202</w:t>
      </w:r>
      <w:r w:rsidR="004331A6">
        <w:rPr>
          <w:b/>
          <w:bCs/>
        </w:rPr>
        <w:t>1</w:t>
      </w:r>
    </w:p>
    <w:p w:rsidRPr="006463D9" w:rsidR="006463D9" w:rsidP="006463D9" w:rsidRDefault="00A15B93" w14:paraId="582BA19D" w14:textId="3489C5D0">
      <w:pPr>
        <w:jc w:val="center"/>
      </w:pPr>
      <w:r>
        <w:rPr>
          <w:b/>
          <w:bCs/>
        </w:rPr>
        <w:t>11</w:t>
      </w:r>
      <w:r w:rsidRPr="006463D9" w:rsidR="006463D9">
        <w:rPr>
          <w:b/>
          <w:bCs/>
        </w:rPr>
        <w:t>:</w:t>
      </w:r>
      <w:r>
        <w:rPr>
          <w:b/>
          <w:bCs/>
        </w:rPr>
        <w:t>00 AM</w:t>
      </w:r>
      <w:r w:rsidRPr="006463D9" w:rsidR="006463D9">
        <w:rPr>
          <w:b/>
          <w:bCs/>
        </w:rPr>
        <w:t xml:space="preserve"> – </w:t>
      </w:r>
      <w:r>
        <w:rPr>
          <w:b/>
          <w:bCs/>
        </w:rPr>
        <w:t>12:30</w:t>
      </w:r>
      <w:r w:rsidRPr="006463D9" w:rsidR="006463D9">
        <w:rPr>
          <w:b/>
          <w:bCs/>
        </w:rPr>
        <w:t xml:space="preserve"> PM</w:t>
      </w:r>
    </w:p>
    <w:p w:rsidRPr="006463D9" w:rsidR="006463D9" w:rsidP="006463D9" w:rsidRDefault="006463D9" w14:paraId="1CE3E42C" w14:textId="77777777">
      <w:r w:rsidRPr="006463D9">
        <w:t> </w:t>
      </w:r>
    </w:p>
    <w:p w:rsidRPr="00FC4DC6" w:rsidR="006463D9" w:rsidP="006463D9" w:rsidRDefault="006463D9" w14:paraId="6DB5212E" w14:textId="7F68F5CA">
      <w:pPr>
        <w:rPr>
          <w:rFonts w:cstheme="minorHAnsi"/>
        </w:rPr>
      </w:pPr>
      <w:r w:rsidRPr="00EA173C">
        <w:t>In a</w:t>
      </w:r>
      <w:r w:rsidRPr="00FC4DC6">
        <w:rPr>
          <w:rFonts w:cstheme="minorHAnsi"/>
        </w:rPr>
        <w:t>ttendance: Conor Kelly, </w:t>
      </w:r>
      <w:r w:rsidRPr="00FC4DC6" w:rsidR="00176C1B">
        <w:rPr>
          <w:rFonts w:cstheme="minorHAnsi"/>
        </w:rPr>
        <w:t xml:space="preserve">Susan Breakwell, </w:t>
      </w:r>
      <w:r w:rsidRPr="00F726FA">
        <w:rPr>
          <w:rFonts w:cstheme="minorHAnsi"/>
        </w:rPr>
        <w:t>Cedric Burrows</w:t>
      </w:r>
      <w:r w:rsidRPr="00FC4DC6">
        <w:rPr>
          <w:rFonts w:cstheme="minorHAnsi"/>
        </w:rPr>
        <w:t>,</w:t>
      </w:r>
      <w:r w:rsidRPr="00FC4DC6" w:rsidR="00720BE6">
        <w:rPr>
          <w:rFonts w:cstheme="minorHAnsi"/>
        </w:rPr>
        <w:t xml:space="preserve"> </w:t>
      </w:r>
      <w:r w:rsidRPr="00506314" w:rsidR="00176C1B">
        <w:rPr>
          <w:rFonts w:cstheme="minorHAnsi"/>
        </w:rPr>
        <w:t>Melisa Gibson</w:t>
      </w:r>
      <w:r w:rsidRPr="00FC4DC6" w:rsidR="00176C1B">
        <w:rPr>
          <w:rFonts w:cstheme="minorHAnsi"/>
        </w:rPr>
        <w:t>, Stephen Hudson-Mairet</w:t>
      </w:r>
      <w:r w:rsidRPr="00FC4DC6">
        <w:rPr>
          <w:rFonts w:cstheme="minorHAnsi"/>
        </w:rPr>
        <w:t xml:space="preserve">, Doug Smith, </w:t>
      </w:r>
      <w:r w:rsidRPr="00FC4DC6" w:rsidR="00176C1B">
        <w:rPr>
          <w:rFonts w:cstheme="minorHAnsi"/>
        </w:rPr>
        <w:t xml:space="preserve">Jessica Wolfendale, </w:t>
      </w:r>
      <w:r w:rsidRPr="00FC4DC6">
        <w:rPr>
          <w:rFonts w:cstheme="minorHAnsi"/>
        </w:rPr>
        <w:t>Amelia Zurcher, and Gary Klump</w:t>
      </w:r>
      <w:r w:rsidRPr="00FC4DC6" w:rsidR="00E1034D">
        <w:rPr>
          <w:rFonts w:cstheme="minorHAnsi"/>
        </w:rPr>
        <w:t>.</w:t>
      </w:r>
    </w:p>
    <w:p w:rsidRPr="00FC4DC6" w:rsidR="00720BE6" w:rsidRDefault="00720BE6" w14:paraId="48F71C5A" w14:textId="77777777">
      <w:pPr>
        <w:rPr>
          <w:rFonts w:cstheme="minorHAnsi"/>
        </w:rPr>
      </w:pPr>
    </w:p>
    <w:p w:rsidRPr="00FC4DC6" w:rsidR="00FC4DC6" w:rsidP="00FC4DC6" w:rsidRDefault="00FC4DC6" w14:paraId="51AEA2D4" w14:textId="2BF7F1FD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Approval of</w:t>
      </w:r>
      <w:r w:rsidR="00E01823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 xml:space="preserve"> Minutes from the September meeting.</w:t>
      </w:r>
      <w:r w:rsidRPr="00FC4DC6" w:rsidR="00E01823">
        <w:rPr>
          <w:rFonts w:asciiTheme="minorHAnsi" w:hAnsiTheme="minorHAnsi" w:cstheme="minorHAnsi"/>
          <w:color w:val="201F1E"/>
        </w:rPr>
        <w:t xml:space="preserve"> </w:t>
      </w:r>
    </w:p>
    <w:p w:rsidRPr="00FC4DC6" w:rsidR="00FC4DC6" w:rsidP="00FC4DC6" w:rsidRDefault="00FC4DC6" w14:paraId="1649BF4D" w14:textId="754EC50D">
      <w:pPr>
        <w:pStyle w:val="xmsolistparagraph"/>
        <w:numPr>
          <w:ilvl w:val="1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Approved</w:t>
      </w:r>
    </w:p>
    <w:p w:rsidRPr="00FC4DC6" w:rsidR="00FC4DC6" w:rsidP="00FC4DC6" w:rsidRDefault="00FC4DC6" w14:paraId="33A97CC1" w14:textId="77777777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Policy Discussions</w:t>
      </w:r>
    </w:p>
    <w:p w:rsidRPr="00FC4DC6" w:rsidR="00FC4DC6" w:rsidP="00FC4DC6" w:rsidRDefault="00FC4DC6" w14:paraId="0823B482" w14:textId="6DF69DC5">
      <w:pPr>
        <w:pStyle w:val="xmsolistparagraph"/>
        <w:numPr>
          <w:ilvl w:val="1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PHIL</w:t>
      </w:r>
      <w:r w:rsidR="00737994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 xml:space="preserve"> 1001</w:t>
      </w: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 xml:space="preserve"> Transfer Proposal</w:t>
      </w:r>
      <w:r w:rsidR="00506314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 xml:space="preserve"> (which </w:t>
      </w:r>
      <w:r w:rsidR="00506314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would apply to every transfer tier</w:t>
      </w:r>
      <w:r w:rsidR="00506314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)</w:t>
      </w:r>
      <w:r w:rsidR="00506314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.</w:t>
      </w:r>
    </w:p>
    <w:p w:rsidRPr="00FC4DC6" w:rsidR="00FC4DC6" w:rsidP="794A534B" w:rsidRDefault="00506314" w14:paraId="2AA03DA6" w14:textId="19B45BB8">
      <w:pPr>
        <w:pStyle w:val="xmsolistparagraph"/>
        <w:numPr>
          <w:ilvl w:val="2"/>
          <w:numId w:val="32"/>
        </w:numPr>
        <w:shd w:val="clear" w:color="auto" w:fill="FFFFFF" w:themeFill="background1"/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</w:pP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The </w:t>
      </w: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Philosophy 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D</w:t>
      </w: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epartment suggest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ed the following policy for transfer students</w:t>
      </w: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: </w:t>
      </w:r>
      <w:r w:rsidRPr="794A534B" w:rsidR="072BDBE0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Incoming transfer students that </w:t>
      </w: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that do not have transfer credit for PHIL 1001 could be exempted from having to take it here at MU if they have taken elsewhere</w:t>
      </w: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:</w:t>
      </w:r>
    </w:p>
    <w:p w:rsidR="00FC4DC6" w:rsidP="794A534B" w:rsidRDefault="00FC4DC6" w14:paraId="446D212D" w14:textId="77777777">
      <w:pPr>
        <w:pStyle w:val="xmsolistparagraph"/>
        <w:numPr>
          <w:ilvl w:val="3"/>
          <w:numId w:val="32"/>
        </w:numPr>
        <w:shd w:val="clear" w:color="auto" w:fill="FFFFFF"/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</w:pP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An ethics philosophy course (general or specific), and</w:t>
      </w:r>
    </w:p>
    <w:p w:rsidR="00FC4DC6" w:rsidP="794A534B" w:rsidRDefault="00FC4DC6" w14:paraId="424735B3" w14:textId="1C39E89A">
      <w:pPr>
        <w:pStyle w:val="xmsolistparagraph"/>
        <w:numPr>
          <w:ilvl w:val="3"/>
          <w:numId w:val="32"/>
        </w:numPr>
        <w:shd w:val="clear" w:color="auto" w:fill="FFFFFF"/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</w:pPr>
      <w:r w:rsidRPr="794A534B" w:rsidR="00FC4DC6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One other philosophy course that is not just logic.</w:t>
      </w:r>
    </w:p>
    <w:p w:rsidRPr="00506314" w:rsidR="00FC4DC6" w:rsidP="00506314" w:rsidRDefault="00FC4DC6" w14:paraId="77CA37EF" w14:textId="390CDB23">
      <w:pPr>
        <w:pStyle w:val="xmsolistparagraph"/>
        <w:numPr>
          <w:ilvl w:val="2"/>
          <w:numId w:val="32"/>
        </w:num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Recommended as an exception and not an equivalency.</w:t>
      </w:r>
    </w:p>
    <w:p w:rsidR="00F726FA" w:rsidP="00506314" w:rsidRDefault="00F726FA" w14:paraId="45939444" w14:textId="315C78AF">
      <w:pPr>
        <w:pStyle w:val="xmsolistparagraph"/>
        <w:numPr>
          <w:ilvl w:val="2"/>
          <w:numId w:val="32"/>
        </w:num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Approved</w:t>
      </w:r>
    </w:p>
    <w:p w:rsidR="00FC4DC6" w:rsidP="00FC4DC6" w:rsidRDefault="00FC4DC6" w14:paraId="5CD0A223" w14:textId="438E97B5">
      <w:pPr>
        <w:pStyle w:val="xmsolistparagraph"/>
        <w:numPr>
          <w:ilvl w:val="1"/>
          <w:numId w:val="32"/>
        </w:num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</w:pP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Grade Appeals</w:t>
      </w:r>
    </w:p>
    <w:p w:rsidR="00F726FA" w:rsidP="794A534B" w:rsidRDefault="00506314" w14:paraId="505ED531" w14:textId="085A32C2">
      <w:pPr>
        <w:pStyle w:val="xmsolistparagraph"/>
        <w:numPr>
          <w:ilvl w:val="2"/>
          <w:numId w:val="32"/>
        </w:numPr>
        <w:shd w:val="clear" w:color="auto" w:fill="FFFFFF"/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</w:pP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The Undergraduate </w:t>
      </w:r>
      <w:r w:rsidRPr="794A534B" w:rsidR="00F726FA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Bulletin does not specify what happens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 when a grade appeal occurs in </w:t>
      </w:r>
      <w:r w:rsidRPr="794A534B" w:rsidR="00F726FA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a class that does not reside in a specific department.</w:t>
      </w:r>
    </w:p>
    <w:p w:rsidR="00F726FA" w:rsidP="00F726FA" w:rsidRDefault="00506314" w14:paraId="06D470B0" w14:textId="0C97D317">
      <w:pPr>
        <w:pStyle w:val="xmsolistparagraph"/>
        <w:numPr>
          <w:ilvl w:val="2"/>
          <w:numId w:val="32"/>
        </w:num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After discussion, the committee p</w:t>
      </w:r>
      <w:r w:rsidR="00F726FA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ropos</w:t>
      </w:r>
      <w:r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ed</w:t>
      </w:r>
      <w:r w:rsidR="00F726FA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:</w:t>
      </w:r>
    </w:p>
    <w:p w:rsidR="00F726FA" w:rsidP="794A534B" w:rsidRDefault="00F726FA" w14:paraId="2FD0B6FA" w14:textId="3FEDCA6C">
      <w:pPr>
        <w:pStyle w:val="xmsolistparagraph"/>
        <w:numPr>
          <w:ilvl w:val="3"/>
          <w:numId w:val="32"/>
        </w:numPr>
        <w:shd w:val="clear" w:color="auto" w:fill="FFFFFF"/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</w:pPr>
      <w:r w:rsidRPr="794A534B" w:rsidR="00F726FA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Initial appeal goes to an Ad Hoc group of the MCC committee, constituted by a designated member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 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who is in the third year of their three-year term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 to head the group</w:t>
      </w:r>
      <w:r w:rsidRPr="794A534B" w:rsidR="00F726FA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. </w:t>
      </w:r>
    </w:p>
    <w:p w:rsidR="00F726FA" w:rsidP="794A534B" w:rsidRDefault="00E01823" w14:paraId="68C5694D" w14:textId="62CFC1C1">
      <w:pPr>
        <w:pStyle w:val="xmsolistparagraph"/>
        <w:numPr>
          <w:ilvl w:val="3"/>
          <w:numId w:val="32"/>
        </w:numPr>
        <w:shd w:val="clear" w:color="auto" w:fill="FFFFFF"/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</w:pPr>
      <w:r w:rsidRPr="794A534B" w:rsidR="00E01823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Subsequent appeals go to the</w:t>
      </w:r>
      <w:r w:rsidRPr="794A534B" w:rsidR="00F726FA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 MCC Directo</w:t>
      </w:r>
      <w:r w:rsidRPr="794A534B" w:rsidR="00E01823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r (who takes the typical position of the Dean).</w:t>
      </w:r>
    </w:p>
    <w:p w:rsidRPr="00F726FA" w:rsidR="00FC4DC6" w:rsidP="00FC4DC6" w:rsidRDefault="00FC4DC6" w14:paraId="4AE8FA6C" w14:textId="3D4E2A94">
      <w:pPr>
        <w:pStyle w:val="xmsolistparagraph"/>
        <w:numPr>
          <w:ilvl w:val="1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COREI 4929</w:t>
      </w:r>
    </w:p>
    <w:p w:rsidRPr="00506314" w:rsidR="00F726FA" w:rsidP="00F726FA" w:rsidRDefault="00F726FA" w14:paraId="7AC433B9" w14:textId="3A6E5BDE">
      <w:pPr>
        <w:pStyle w:val="xmsolistparagraph"/>
        <w:numPr>
          <w:ilvl w:val="2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Proposal for study abroad version of CORE 4929.</w:t>
      </w:r>
    </w:p>
    <w:p w:rsidRPr="00506314" w:rsidR="00506314" w:rsidP="794A534B" w:rsidRDefault="00506314" w14:paraId="36C72492" w14:textId="4899292B">
      <w:pPr>
        <w:pStyle w:val="xmsolistparagraph"/>
        <w:numPr>
          <w:ilvl w:val="3"/>
          <w:numId w:val="32"/>
        </w:numPr>
        <w:shd w:val="clear" w:color="auto" w:fill="FFFFFF"/>
        <w:spacing w:before="0" w:beforeAutospacing="0" w:after="0" w:afterAutospacing="0"/>
        <w:rPr>
          <w:rFonts w:ascii="Calibri" w:hAnsi="Calibri" w:cs="Calibri" w:asciiTheme="minorAscii" w:hAnsiTheme="minorAscii" w:cstheme="minorAscii"/>
          <w:color w:val="201F1E"/>
        </w:rPr>
      </w:pP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Concern was raised about contact hours and how much that content will fit into those hours.</w:t>
      </w:r>
    </w:p>
    <w:p w:rsidRPr="00FC4DC6" w:rsidR="00506314" w:rsidP="794A534B" w:rsidRDefault="00506314" w14:paraId="36CD25F9" w14:textId="715E4F96">
      <w:pPr>
        <w:pStyle w:val="xmsolistparagraph"/>
        <w:numPr>
          <w:ilvl w:val="3"/>
          <w:numId w:val="32"/>
        </w:numPr>
        <w:shd w:val="clear" w:color="auto" w:fill="FFFFFF"/>
        <w:spacing w:before="0" w:beforeAutospacing="0" w:after="0" w:afterAutospacing="0"/>
        <w:rPr>
          <w:rFonts w:ascii="Calibri" w:hAnsi="Calibri" w:cs="Calibri" w:asciiTheme="minorAscii" w:hAnsiTheme="minorAscii" w:cstheme="minorAscii"/>
          <w:color w:val="201F1E"/>
        </w:rPr>
      </w:pP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Approved for director to handle these proposals.</w:t>
      </w:r>
    </w:p>
    <w:p w:rsidRPr="00506314" w:rsidR="007C1DCF" w:rsidP="00FC4DC6" w:rsidRDefault="00FC4DC6" w14:paraId="2636BA78" w14:textId="4A20162B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FC4DC6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</w:rPr>
        <w:t>Time for Course Proposal Review</w:t>
      </w:r>
    </w:p>
    <w:p w:rsidRPr="00FC4DC6" w:rsidR="00506314" w:rsidP="794A534B" w:rsidRDefault="00506314" w14:paraId="4BFF4005" w14:textId="19C0AB32">
      <w:pPr>
        <w:pStyle w:val="xmsolistparagraph"/>
        <w:numPr>
          <w:ilvl w:val="1"/>
          <w:numId w:val="32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201F1E"/>
        </w:rPr>
      </w:pP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Committee members were assigned to review the MCC course proposals i</w:t>
      </w:r>
      <w:r w:rsidRPr="794A534B" w:rsidR="2B1E8280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>n</w:t>
      </w:r>
      <w:r w:rsidRPr="794A534B" w:rsidR="00506314">
        <w:rPr>
          <w:rFonts w:ascii="Calibri" w:hAnsi="Calibri" w:cs="Calibri" w:asciiTheme="minorAscii" w:hAnsiTheme="minorAscii" w:cstheme="minorAscii"/>
          <w:color w:val="201F1E"/>
          <w:sz w:val="22"/>
          <w:szCs w:val="22"/>
          <w:bdr w:val="none" w:color="auto" w:sz="0" w:space="0" w:frame="1"/>
        </w:rPr>
        <w:t xml:space="preserve"> pairs.</w:t>
      </w:r>
    </w:p>
    <w:sectPr w:rsidRPr="00FC4DC6" w:rsidR="0050631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31CED"/>
    <w:multiLevelType w:val="multilevel"/>
    <w:tmpl w:val="C90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3E35BB"/>
    <w:multiLevelType w:val="multilevel"/>
    <w:tmpl w:val="1D7C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DA61DF"/>
    <w:multiLevelType w:val="hybridMultilevel"/>
    <w:tmpl w:val="34DE9D08"/>
    <w:lvl w:ilvl="0" w:tplc="11843DC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090FC1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8C6318"/>
    <w:multiLevelType w:val="multilevel"/>
    <w:tmpl w:val="B268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184FA0"/>
    <w:multiLevelType w:val="hybridMultilevel"/>
    <w:tmpl w:val="D958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26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5"/>
  </w:num>
  <w:num w:numId="21">
    <w:abstractNumId w:val="19"/>
  </w:num>
  <w:num w:numId="22">
    <w:abstractNumId w:val="13"/>
  </w:num>
  <w:num w:numId="23">
    <w:abstractNumId w:val="29"/>
  </w:num>
  <w:num w:numId="24">
    <w:abstractNumId w:val="27"/>
  </w:num>
  <w:num w:numId="25">
    <w:abstractNumId w:val="27"/>
  </w:num>
  <w:num w:numId="26">
    <w:abstractNumId w:val="27"/>
  </w:num>
  <w:num w:numId="27">
    <w:abstractNumId w:val="11"/>
  </w:num>
  <w:num w:numId="28">
    <w:abstractNumId w:val="22"/>
  </w:num>
  <w:num w:numId="29">
    <w:abstractNumId w:val="21"/>
  </w:num>
  <w:num w:numId="30">
    <w:abstractNumId w:val="24"/>
  </w:num>
  <w:num w:numId="31">
    <w:abstractNumId w:val="1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0620AC"/>
    <w:rsid w:val="00070C22"/>
    <w:rsid w:val="000715C9"/>
    <w:rsid w:val="001176B5"/>
    <w:rsid w:val="0012165C"/>
    <w:rsid w:val="001344A2"/>
    <w:rsid w:val="0016645A"/>
    <w:rsid w:val="00176C1B"/>
    <w:rsid w:val="001A3FEE"/>
    <w:rsid w:val="0021002A"/>
    <w:rsid w:val="00226C52"/>
    <w:rsid w:val="00253056"/>
    <w:rsid w:val="002A3A94"/>
    <w:rsid w:val="002F7148"/>
    <w:rsid w:val="003D1CE6"/>
    <w:rsid w:val="004331A6"/>
    <w:rsid w:val="004A5837"/>
    <w:rsid w:val="004B20F5"/>
    <w:rsid w:val="00506314"/>
    <w:rsid w:val="00563AD0"/>
    <w:rsid w:val="005C7988"/>
    <w:rsid w:val="005F4BD9"/>
    <w:rsid w:val="00614969"/>
    <w:rsid w:val="00645252"/>
    <w:rsid w:val="00645887"/>
    <w:rsid w:val="006463D9"/>
    <w:rsid w:val="0065428C"/>
    <w:rsid w:val="00664FB1"/>
    <w:rsid w:val="006B3832"/>
    <w:rsid w:val="006D3D74"/>
    <w:rsid w:val="00720BE6"/>
    <w:rsid w:val="007251DC"/>
    <w:rsid w:val="00737994"/>
    <w:rsid w:val="0076124C"/>
    <w:rsid w:val="00766520"/>
    <w:rsid w:val="00771BE0"/>
    <w:rsid w:val="00796B69"/>
    <w:rsid w:val="007A6255"/>
    <w:rsid w:val="007B46FB"/>
    <w:rsid w:val="007C1DCF"/>
    <w:rsid w:val="0083569A"/>
    <w:rsid w:val="008B179E"/>
    <w:rsid w:val="008D4A8C"/>
    <w:rsid w:val="00910B67"/>
    <w:rsid w:val="00924566"/>
    <w:rsid w:val="009642BD"/>
    <w:rsid w:val="009D715C"/>
    <w:rsid w:val="00A15B93"/>
    <w:rsid w:val="00A202BD"/>
    <w:rsid w:val="00A3619F"/>
    <w:rsid w:val="00A709E8"/>
    <w:rsid w:val="00A90FBE"/>
    <w:rsid w:val="00A9204E"/>
    <w:rsid w:val="00AB5E16"/>
    <w:rsid w:val="00B03742"/>
    <w:rsid w:val="00B32094"/>
    <w:rsid w:val="00B407FB"/>
    <w:rsid w:val="00B476F4"/>
    <w:rsid w:val="00B663CF"/>
    <w:rsid w:val="00B673DB"/>
    <w:rsid w:val="00B92A9E"/>
    <w:rsid w:val="00BA1F1E"/>
    <w:rsid w:val="00BF5077"/>
    <w:rsid w:val="00C6398C"/>
    <w:rsid w:val="00C703AA"/>
    <w:rsid w:val="00D52C03"/>
    <w:rsid w:val="00D6614B"/>
    <w:rsid w:val="00D73D53"/>
    <w:rsid w:val="00DB7DDD"/>
    <w:rsid w:val="00DD3719"/>
    <w:rsid w:val="00DF3954"/>
    <w:rsid w:val="00E01823"/>
    <w:rsid w:val="00E1034D"/>
    <w:rsid w:val="00E20C1E"/>
    <w:rsid w:val="00EA173C"/>
    <w:rsid w:val="00F415A0"/>
    <w:rsid w:val="00F726FA"/>
    <w:rsid w:val="00F77298"/>
    <w:rsid w:val="00FC4DC6"/>
    <w:rsid w:val="00FF7AF2"/>
    <w:rsid w:val="072BDBE0"/>
    <w:rsid w:val="0B48657C"/>
    <w:rsid w:val="24B7EC1C"/>
    <w:rsid w:val="259BD5A3"/>
    <w:rsid w:val="2B1E8280"/>
    <w:rsid w:val="5D16E244"/>
    <w:rsid w:val="794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  <w:style w:type="paragraph" w:styleId="xmsolistparagraph" w:customStyle="1">
    <w:name w:val="x_msolistparagraph"/>
    <w:basedOn w:val="Normal"/>
    <w:rsid w:val="00FC4DC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4" ma:contentTypeDescription="Create a new document." ma:contentTypeScope="" ma:versionID="9a34c36d867ed87cdb7ce9a750aaa956">
  <xsd:schema xmlns:xsd="http://www.w3.org/2001/XMLSchema" xmlns:xs="http://www.w3.org/2001/XMLSchema" xmlns:p="http://schemas.microsoft.com/office/2006/metadata/properties" xmlns:ns2="f694fcb4-6a04-47e5-afb8-4f1836b3e30f" targetNamespace="http://schemas.microsoft.com/office/2006/metadata/properties" ma:root="true" ma:fieldsID="deb81dd437377fd81d346a230825975d" ns2:_="">
    <xsd:import namespace="f694fcb4-6a04-47e5-afb8-4f1836b3e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27E47-BD9E-4FF9-B840-C20F170EA6DD}"/>
</file>

<file path=customXml/itemProps2.xml><?xml version="1.0" encoding="utf-8"?>
<ds:datastoreItem xmlns:ds="http://schemas.openxmlformats.org/officeDocument/2006/customXml" ds:itemID="{A847FF63-724A-467F-AD8C-35EA8140A954}"/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{5A518CBD-E7A8-46DB-BABE-521F9D4CD485}tf02786999_win32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Kelly, Conor</lastModifiedBy>
  <revision>6</revision>
  <dcterms:created xsi:type="dcterms:W3CDTF">2021-09-20T13:53:00.0000000Z</dcterms:created>
  <dcterms:modified xsi:type="dcterms:W3CDTF">2021-10-18T20:17:48.6274510Z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0x010100F5E42C7B1FA58D4596DD645BB0772B54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