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44740" w14:textId="77777777" w:rsidR="00A105A3" w:rsidRDefault="00A105A3"/>
    <w:p w14:paraId="64AB29F2" w14:textId="3FEBA391" w:rsidR="00354095" w:rsidRDefault="000C40F6" w:rsidP="000C40F6">
      <w:pPr>
        <w:jc w:val="center"/>
        <w:rPr>
          <w:b/>
        </w:rPr>
      </w:pPr>
      <w:r w:rsidRPr="00E716D6">
        <w:rPr>
          <w:b/>
        </w:rPr>
        <w:t xml:space="preserve">MCC/UCCS Advising Guide for </w:t>
      </w:r>
      <w:r w:rsidR="006931C2">
        <w:rPr>
          <w:b/>
        </w:rPr>
        <w:t>Spring 2019</w:t>
      </w:r>
    </w:p>
    <w:p w14:paraId="0032D823" w14:textId="77777777" w:rsidR="000C40F6" w:rsidRPr="00E716D6" w:rsidRDefault="000C40F6" w:rsidP="00E716D6">
      <w:pPr>
        <w:jc w:val="center"/>
        <w:rPr>
          <w:b/>
        </w:rPr>
      </w:pPr>
    </w:p>
    <w:p w14:paraId="157526CC" w14:textId="77777777" w:rsidR="00354095" w:rsidRPr="00B3325C" w:rsidRDefault="00B3325C">
      <w:pPr>
        <w:rPr>
          <w:b/>
        </w:rPr>
      </w:pPr>
      <w:r>
        <w:rPr>
          <w:b/>
        </w:rPr>
        <w:t>Advis</w:t>
      </w:r>
      <w:r w:rsidR="00354095" w:rsidRPr="00B3325C">
        <w:rPr>
          <w:b/>
        </w:rPr>
        <w:t xml:space="preserve">ing Students </w:t>
      </w:r>
      <w:r>
        <w:rPr>
          <w:b/>
        </w:rPr>
        <w:t>on the MCC</w:t>
      </w:r>
    </w:p>
    <w:p w14:paraId="4A5E1994" w14:textId="719EB06B" w:rsidR="00354095" w:rsidRDefault="00B6371D">
      <w:r>
        <w:t xml:space="preserve">1. </w:t>
      </w:r>
      <w:r w:rsidRPr="00B6371D">
        <w:rPr>
          <w:i/>
        </w:rPr>
        <w:t>Taking the long view of a student’s career</w:t>
      </w:r>
      <w:r>
        <w:t xml:space="preserve">: </w:t>
      </w:r>
      <w:r w:rsidR="00354095">
        <w:t>The MCC committee recommends going forward that in future students</w:t>
      </w:r>
      <w:r w:rsidR="00E716D6">
        <w:t xml:space="preserve"> where possible</w:t>
      </w:r>
      <w:r w:rsidR="00354095">
        <w:t xml:space="preserve"> should be advised to </w:t>
      </w:r>
      <w:r w:rsidR="00D74874">
        <w:t xml:space="preserve">complete </w:t>
      </w:r>
      <w:r w:rsidR="00354095">
        <w:t xml:space="preserve">MCC </w:t>
      </w:r>
      <w:r w:rsidR="00D74874">
        <w:t xml:space="preserve">requirements </w:t>
      </w:r>
      <w:r w:rsidR="00354095">
        <w:t>in a 4-3-2-1 format: four MCC courses in their first year (preferably two in each semester), three in their second</w:t>
      </w:r>
      <w:r w:rsidR="00E716D6">
        <w:t xml:space="preserve"> year</w:t>
      </w:r>
      <w:r w:rsidR="00354095">
        <w:t>, and so forth.</w:t>
      </w:r>
      <w:r w:rsidR="00E716D6">
        <w:t xml:space="preserve"> This means that students who are enrolled in 3 MCC courses this semester should be advised to take only 1 MCC course in the spring. This will allow other students to stay on track with their plans as well. </w:t>
      </w:r>
    </w:p>
    <w:p w14:paraId="170828D2" w14:textId="77777777" w:rsidR="00354095" w:rsidRDefault="00354095"/>
    <w:p w14:paraId="2F12C2E7" w14:textId="153FE7EF" w:rsidR="00354095" w:rsidRDefault="00B6371D">
      <w:r>
        <w:t xml:space="preserve">2. </w:t>
      </w:r>
      <w:r w:rsidRPr="00B6371D">
        <w:rPr>
          <w:i/>
        </w:rPr>
        <w:t>Opportunities to explore interests</w:t>
      </w:r>
      <w:r>
        <w:t xml:space="preserve">: </w:t>
      </w:r>
      <w:r w:rsidR="00354095">
        <w:t xml:space="preserve">Students </w:t>
      </w:r>
      <w:r w:rsidR="000C40F6">
        <w:t xml:space="preserve">should </w:t>
      </w:r>
      <w:r w:rsidR="00354095">
        <w:t xml:space="preserve">be </w:t>
      </w:r>
      <w:r w:rsidR="000C40F6">
        <w:t xml:space="preserve">introduced to </w:t>
      </w:r>
      <w:r w:rsidR="00354095">
        <w:t xml:space="preserve">the idea that there is no </w:t>
      </w:r>
      <w:r>
        <w:t xml:space="preserve">such thing as a “wasted” class. This is certainly not language that we use at Marquette, but there is a sense that some parents and students come to the core with that perception. Advisors are in a unique position to shape students’ awareness and perceptions about how the core fits into their time at MU.  </w:t>
      </w:r>
      <w:r w:rsidR="00354095">
        <w:t xml:space="preserve">Students—especially those who have not yet declared majors, or with majors that have “room” for minors or second majors—should be encouraged to use the electives they take in the first and second years as opportunities to explore majors, minors, certificates, or areas of personal interest.  </w:t>
      </w:r>
    </w:p>
    <w:p w14:paraId="7DCBDDBF" w14:textId="77777777" w:rsidR="00354095" w:rsidRDefault="00354095"/>
    <w:p w14:paraId="1106F3AE" w14:textId="129F3029" w:rsidR="00354095" w:rsidRDefault="00354095">
      <w:r>
        <w:t>In other words, students should be guided to the understanding that 1) they will engage the core throughout their careers at Marquette, 2) elective</w:t>
      </w:r>
      <w:r w:rsidR="00D74874">
        <w:t>s</w:t>
      </w:r>
      <w:r>
        <w:t>, especially those that might lead to personal growth or additional fields of study, should not be left to their last few semesters.  For virtually all of our students, the MCC and their chosen fields of study will be fully integrated throughout their years at Marquette.</w:t>
      </w:r>
    </w:p>
    <w:p w14:paraId="52BF2776" w14:textId="77777777" w:rsidR="00354095" w:rsidRDefault="00354095"/>
    <w:p w14:paraId="0A59BE20" w14:textId="5E7142EA" w:rsidR="00354095" w:rsidRDefault="00B6371D">
      <w:r>
        <w:t xml:space="preserve">3. </w:t>
      </w:r>
      <w:r w:rsidRPr="00B6371D">
        <w:rPr>
          <w:i/>
        </w:rPr>
        <w:t>Declaring Discovery Tier Themes</w:t>
      </w:r>
      <w:r>
        <w:t xml:space="preserve">: A few students, particularly transfers, may be ready to choose their Discovery Tier theme.  First year students should wait until spring to declare their Disco Tier Themes.  </w:t>
      </w:r>
      <w:r w:rsidR="00354095">
        <w:t>For your reference, the themes</w:t>
      </w:r>
      <w:r w:rsidR="00E716D6">
        <w:t xml:space="preserve"> </w:t>
      </w:r>
      <w:r w:rsidR="00354095">
        <w:t xml:space="preserve">can be found </w:t>
      </w:r>
      <w:hyperlink r:id="rId5" w:history="1">
        <w:r w:rsidR="000C40F6" w:rsidRPr="000C40F6">
          <w:rPr>
            <w:rStyle w:val="Hyperlink"/>
          </w:rPr>
          <w:t>here</w:t>
        </w:r>
      </w:hyperlink>
      <w:r w:rsidR="000C40F6">
        <w:t xml:space="preserve">. </w:t>
      </w:r>
      <w:r w:rsidR="00354095">
        <w:t xml:space="preserve">The form for officially “declaring” themes can be found </w:t>
      </w:r>
      <w:hyperlink r:id="rId6" w:history="1">
        <w:r w:rsidR="00354095" w:rsidRPr="000C40F6">
          <w:rPr>
            <w:rStyle w:val="Hyperlink"/>
          </w:rPr>
          <w:t>here</w:t>
        </w:r>
      </w:hyperlink>
      <w:r w:rsidR="00354095">
        <w:t>.</w:t>
      </w:r>
      <w:r w:rsidR="00A105A3">
        <w:t xml:space="preserve"> </w:t>
      </w:r>
      <w:r w:rsidR="00DC4E00">
        <w:t>Note that we hope to be adding additional themes in next bulletin year, so it is to students</w:t>
      </w:r>
      <w:r w:rsidR="00DE1A8D">
        <w:t>’</w:t>
      </w:r>
      <w:r w:rsidR="00DC4E00">
        <w:t xml:space="preserve"> advantage to wait until a more complete course listing is available.</w:t>
      </w:r>
    </w:p>
    <w:p w14:paraId="2FDF8673" w14:textId="4DEEC692" w:rsidR="00EE1ED9" w:rsidRDefault="00EE1ED9"/>
    <w:p w14:paraId="5C44A129" w14:textId="42A1EA4B" w:rsidR="006931C2" w:rsidRPr="00712AA0" w:rsidRDefault="006931C2">
      <w:pPr>
        <w:rPr>
          <w:color w:val="FF0000"/>
        </w:rPr>
      </w:pPr>
      <w:r w:rsidRPr="00712AA0">
        <w:rPr>
          <w:b/>
          <w:color w:val="FF0000"/>
        </w:rPr>
        <w:t>Note</w:t>
      </w:r>
      <w:r w:rsidRPr="00712AA0">
        <w:rPr>
          <w:color w:val="FF0000"/>
        </w:rPr>
        <w:t xml:space="preserve">: </w:t>
      </w:r>
      <w:r w:rsidR="003750C9">
        <w:rPr>
          <w:color w:val="FF0000"/>
        </w:rPr>
        <w:t xml:space="preserve">A fifth theme called Expanding Our Horizons has been approved for the 2019-2020 school year.  It combines the courses originally approved for the </w:t>
      </w:r>
      <w:r w:rsidRPr="00712AA0">
        <w:rPr>
          <w:color w:val="FF0000"/>
        </w:rPr>
        <w:t>Exploring the Unknown, Sustainability, and Creativity and Technology</w:t>
      </w:r>
      <w:r w:rsidR="003750C9">
        <w:rPr>
          <w:color w:val="FF0000"/>
        </w:rPr>
        <w:t>.</w:t>
      </w:r>
    </w:p>
    <w:p w14:paraId="0C6DEB86" w14:textId="77777777" w:rsidR="00712AA0" w:rsidRDefault="00712AA0"/>
    <w:p w14:paraId="0D52C8C3" w14:textId="77777777" w:rsidR="00354095" w:rsidRPr="00B3325C" w:rsidRDefault="00354095">
      <w:pPr>
        <w:rPr>
          <w:b/>
        </w:rPr>
      </w:pPr>
      <w:r w:rsidRPr="00B3325C">
        <w:rPr>
          <w:b/>
        </w:rPr>
        <w:t>Practical Considerations</w:t>
      </w:r>
    </w:p>
    <w:p w14:paraId="3BEC9392" w14:textId="58A616B0" w:rsidR="00354095" w:rsidRDefault="00A105A3">
      <w:r>
        <w:t xml:space="preserve">1. </w:t>
      </w:r>
      <w:proofErr w:type="gramStart"/>
      <w:r w:rsidR="00712AA0">
        <w:t>A number of</w:t>
      </w:r>
      <w:proofErr w:type="gramEnd"/>
      <w:r w:rsidR="00354095">
        <w:t xml:space="preserve"> Discovery Tier, ESSV2, and Writing Intensive </w:t>
      </w:r>
      <w:r w:rsidR="00B6371D">
        <w:t xml:space="preserve">courses </w:t>
      </w:r>
      <w:r>
        <w:t>will be offered in spring 2019</w:t>
      </w:r>
      <w:r w:rsidR="00B6371D">
        <w:t xml:space="preserve">.  </w:t>
      </w:r>
      <w:r w:rsidR="00712AA0">
        <w:t xml:space="preserve">The Schedule of Classes and Snapshot will provide lists of MCC offered courses.  There is not a separate list of offered courses on the MCC website.  </w:t>
      </w:r>
    </w:p>
    <w:p w14:paraId="7DE61162" w14:textId="77777777" w:rsidR="00EE1ED9" w:rsidRPr="00B3325C" w:rsidRDefault="00EE1ED9"/>
    <w:p w14:paraId="701A628C" w14:textId="77777777" w:rsidR="00EE1ED9" w:rsidRDefault="00EE1ED9"/>
    <w:p w14:paraId="3F438E78" w14:textId="76C136CD" w:rsidR="00D74874" w:rsidRDefault="00B3325C" w:rsidP="00D74874">
      <w:r>
        <w:lastRenderedPageBreak/>
        <w:t xml:space="preserve">3. </w:t>
      </w:r>
      <w:r w:rsidR="00712AA0">
        <w:t xml:space="preserve">A full slate of Methods of Inquiry courses will be offered in 2019-2020, with roughly equal numbers of seats each semester. Course descriptions will be posted on the MCC website and will be included in the course “notes” section on </w:t>
      </w:r>
      <w:proofErr w:type="spellStart"/>
      <w:r w:rsidR="00712AA0">
        <w:t>Checkmarq</w:t>
      </w:r>
      <w:proofErr w:type="spellEnd"/>
      <w:r w:rsidR="00712AA0">
        <w:t xml:space="preserve">.  Current first year students should be encouraged to take their MOIs in fall 2019.  Incoming first year students—except for Honors students—should be </w:t>
      </w:r>
      <w:r w:rsidR="00712AA0" w:rsidRPr="00712AA0">
        <w:rPr>
          <w:b/>
        </w:rPr>
        <w:t>strongly discouraged</w:t>
      </w:r>
      <w:r w:rsidR="00712AA0">
        <w:t xml:space="preserve"> from taking MOIs in their first semester.</w:t>
      </w:r>
    </w:p>
    <w:p w14:paraId="05AFDFEF" w14:textId="77777777" w:rsidR="00A105A3" w:rsidRDefault="00A105A3"/>
    <w:p w14:paraId="472E7CF6" w14:textId="491F6853" w:rsidR="00A105A3" w:rsidRPr="00B3325C" w:rsidRDefault="00B3325C">
      <w:pPr>
        <w:rPr>
          <w:b/>
        </w:rPr>
      </w:pPr>
      <w:r>
        <w:rPr>
          <w:b/>
        </w:rPr>
        <w:t>Teaching Out the UCCS</w:t>
      </w:r>
    </w:p>
    <w:p w14:paraId="712C9D73" w14:textId="3252A822" w:rsidR="00E716D6" w:rsidRDefault="00A105A3" w:rsidP="00E716D6">
      <w:pPr>
        <w:pStyle w:val="ListParagraph"/>
        <w:numPr>
          <w:ilvl w:val="0"/>
          <w:numId w:val="1"/>
        </w:numPr>
        <w:ind w:left="360"/>
      </w:pPr>
      <w:r>
        <w:t xml:space="preserve">Many students still need to finish the </w:t>
      </w:r>
      <w:r w:rsidR="00712AA0">
        <w:t>UCCS</w:t>
      </w:r>
      <w:r>
        <w:t xml:space="preserve">. </w:t>
      </w:r>
      <w:r w:rsidR="00B3325C">
        <w:t xml:space="preserve">Departments are committed to offering enough sections </w:t>
      </w:r>
      <w:r w:rsidR="00712AA0">
        <w:t>for students under the old core to complete it by spring 2022</w:t>
      </w:r>
      <w:r w:rsidR="00B3325C">
        <w:t xml:space="preserve">.  </w:t>
      </w:r>
      <w:r w:rsidR="00712AA0">
        <w:t>But students should not delay fulfilling these requirements, especially lower division courses; opportunities for UCCS courses will likely dwindle as departments’ responsibilities in the MCC grow over the next two years.</w:t>
      </w:r>
    </w:p>
    <w:p w14:paraId="5FD4CF08" w14:textId="77777777" w:rsidR="00E716D6" w:rsidRDefault="00E716D6" w:rsidP="00E716D6">
      <w:pPr>
        <w:pStyle w:val="ListParagraph"/>
        <w:ind w:left="360"/>
      </w:pPr>
    </w:p>
    <w:p w14:paraId="6B01B246" w14:textId="5DC5ED57" w:rsidR="00A105A3" w:rsidRDefault="00DC4E00" w:rsidP="00E716D6">
      <w:pPr>
        <w:pStyle w:val="ListParagraph"/>
        <w:numPr>
          <w:ilvl w:val="0"/>
          <w:numId w:val="1"/>
        </w:numPr>
        <w:ind w:left="360"/>
      </w:pPr>
      <w:r>
        <w:t xml:space="preserve">In general, students entering prior to fall of </w:t>
      </w:r>
      <w:r w:rsidR="00275DB8">
        <w:t>2018</w:t>
      </w:r>
      <w:bookmarkStart w:id="0" w:name="_GoBack"/>
      <w:bookmarkEnd w:id="0"/>
      <w:r>
        <w:t xml:space="preserve"> are expected to complete their UCCS requirements as planned. However, </w:t>
      </w:r>
      <w:r w:rsidR="00360453">
        <w:t xml:space="preserve">for students with special concerns </w:t>
      </w:r>
      <w:r w:rsidR="00F43D25">
        <w:t>that make</w:t>
      </w:r>
      <w:r w:rsidR="00360453">
        <w:t xml:space="preserve"> finding classes to graduate on time particularly challenging, </w:t>
      </w:r>
      <w:r>
        <w:t>t</w:t>
      </w:r>
      <w:r w:rsidR="00A105A3">
        <w:t xml:space="preserve">he MCC has </w:t>
      </w:r>
      <w:r>
        <w:t xml:space="preserve">identified that the following MCC courses can substitute for UCCS requirements. Students may not double dip – that is each MCC substitution can be used to fulfill only one UCCS requirement. These substitutions apply only to courses </w:t>
      </w:r>
      <w:r w:rsidRPr="00712AA0">
        <w:rPr>
          <w:i/>
          <w:u w:val="single"/>
        </w:rPr>
        <w:t xml:space="preserve">taken </w:t>
      </w:r>
      <w:r w:rsidR="00712AA0" w:rsidRPr="00712AA0">
        <w:rPr>
          <w:i/>
          <w:u w:val="single"/>
        </w:rPr>
        <w:t>in</w:t>
      </w:r>
      <w:r w:rsidRPr="00712AA0">
        <w:rPr>
          <w:i/>
          <w:u w:val="single"/>
        </w:rPr>
        <w:t xml:space="preserve"> Fall 2018</w:t>
      </w:r>
      <w:r w:rsidR="00712AA0" w:rsidRPr="00712AA0">
        <w:rPr>
          <w:i/>
          <w:u w:val="single"/>
        </w:rPr>
        <w:t xml:space="preserve"> or after</w:t>
      </w:r>
      <w:r>
        <w:t xml:space="preserve">. </w:t>
      </w:r>
      <w:r w:rsidR="000C40F6">
        <w:t xml:space="preserve">Any student who wishes to substitute an MCC course for </w:t>
      </w:r>
      <w:r>
        <w:t xml:space="preserve">a UCCS course needs to complete a </w:t>
      </w:r>
      <w:hyperlink r:id="rId7" w:history="1">
        <w:r w:rsidRPr="00DC4E00">
          <w:rPr>
            <w:rStyle w:val="Hyperlink"/>
          </w:rPr>
          <w:t>substitution form</w:t>
        </w:r>
      </w:hyperlink>
      <w:r>
        <w:t>.</w:t>
      </w:r>
    </w:p>
    <w:p w14:paraId="635A81EA" w14:textId="2236C826" w:rsidR="00DC4E00" w:rsidRDefault="00DC4E00"/>
    <w:tbl>
      <w:tblPr>
        <w:tblStyle w:val="TableGrid"/>
        <w:tblW w:w="9175" w:type="dxa"/>
        <w:tblLook w:val="04A0" w:firstRow="1" w:lastRow="0" w:firstColumn="1" w:lastColumn="0" w:noHBand="0" w:noVBand="1"/>
      </w:tblPr>
      <w:tblGrid>
        <w:gridCol w:w="2965"/>
        <w:gridCol w:w="3060"/>
        <w:gridCol w:w="3150"/>
      </w:tblGrid>
      <w:tr w:rsidR="00DC4E00" w:rsidRPr="00344B0F" w14:paraId="54ED6086" w14:textId="77777777" w:rsidTr="00E716D6">
        <w:trPr>
          <w:trHeight w:val="385"/>
        </w:trPr>
        <w:tc>
          <w:tcPr>
            <w:tcW w:w="2965" w:type="dxa"/>
          </w:tcPr>
          <w:p w14:paraId="356352D1" w14:textId="77777777" w:rsidR="00DC4E00" w:rsidRPr="00344B0F" w:rsidRDefault="00DC4E00" w:rsidP="00432A0C">
            <w:pPr>
              <w:rPr>
                <w:b/>
              </w:rPr>
            </w:pPr>
            <w:r w:rsidRPr="00344B0F">
              <w:rPr>
                <w:b/>
              </w:rPr>
              <w:t>Courses in MCC</w:t>
            </w:r>
          </w:p>
        </w:tc>
        <w:tc>
          <w:tcPr>
            <w:tcW w:w="3060" w:type="dxa"/>
          </w:tcPr>
          <w:p w14:paraId="3E6CEBA6" w14:textId="1D0310EA" w:rsidR="00DC4E00" w:rsidRPr="00344B0F" w:rsidRDefault="00DC4E00" w:rsidP="00432A0C">
            <w:pPr>
              <w:jc w:val="center"/>
              <w:rPr>
                <w:b/>
              </w:rPr>
            </w:pPr>
          </w:p>
        </w:tc>
        <w:tc>
          <w:tcPr>
            <w:tcW w:w="3150" w:type="dxa"/>
          </w:tcPr>
          <w:p w14:paraId="73992355" w14:textId="77777777" w:rsidR="00DC4E00" w:rsidRPr="00344B0F" w:rsidRDefault="00DC4E00" w:rsidP="00432A0C">
            <w:pPr>
              <w:rPr>
                <w:b/>
              </w:rPr>
            </w:pPr>
            <w:r w:rsidRPr="00344B0F">
              <w:rPr>
                <w:b/>
              </w:rPr>
              <w:t>UCCS Requirement</w:t>
            </w:r>
          </w:p>
        </w:tc>
      </w:tr>
      <w:tr w:rsidR="00E716D6" w:rsidRPr="00344B0F" w14:paraId="72E0B73D" w14:textId="77777777" w:rsidTr="00E716D6">
        <w:trPr>
          <w:trHeight w:val="306"/>
        </w:trPr>
        <w:tc>
          <w:tcPr>
            <w:tcW w:w="2965" w:type="dxa"/>
          </w:tcPr>
          <w:p w14:paraId="444B2A4C" w14:textId="77777777" w:rsidR="00E716D6" w:rsidRPr="00344B0F" w:rsidRDefault="00E716D6" w:rsidP="00E716D6">
            <w:r w:rsidRPr="00344B0F">
              <w:t>ESSV Foundations</w:t>
            </w:r>
          </w:p>
        </w:tc>
        <w:tc>
          <w:tcPr>
            <w:tcW w:w="3060" w:type="dxa"/>
          </w:tcPr>
          <w:p w14:paraId="12A27470" w14:textId="1F3E120F" w:rsidR="00E716D6" w:rsidRPr="00E716D6" w:rsidRDefault="00E716D6" w:rsidP="00E716D6">
            <w:pPr>
              <w:jc w:val="center"/>
            </w:pPr>
            <w:r w:rsidRPr="00E716D6">
              <w:t>may be taken to substitute for</w:t>
            </w:r>
          </w:p>
        </w:tc>
        <w:tc>
          <w:tcPr>
            <w:tcW w:w="3150" w:type="dxa"/>
          </w:tcPr>
          <w:p w14:paraId="7D59A375" w14:textId="77777777" w:rsidR="00E716D6" w:rsidRPr="00344B0F" w:rsidRDefault="00E716D6" w:rsidP="00E716D6">
            <w:r w:rsidRPr="00344B0F">
              <w:t>Diverse Cultures</w:t>
            </w:r>
          </w:p>
        </w:tc>
      </w:tr>
      <w:tr w:rsidR="00E716D6" w:rsidRPr="00344B0F" w14:paraId="27F29E12" w14:textId="77777777" w:rsidTr="00E716D6">
        <w:trPr>
          <w:trHeight w:val="298"/>
        </w:trPr>
        <w:tc>
          <w:tcPr>
            <w:tcW w:w="2965" w:type="dxa"/>
          </w:tcPr>
          <w:p w14:paraId="31E28331" w14:textId="77777777" w:rsidR="00E716D6" w:rsidRPr="00344B0F" w:rsidRDefault="00E716D6" w:rsidP="00E716D6">
            <w:r>
              <w:t xml:space="preserve">ESSV or </w:t>
            </w:r>
            <w:r w:rsidRPr="00344B0F">
              <w:t>Discovery course:  Any HIST offering</w:t>
            </w:r>
          </w:p>
        </w:tc>
        <w:tc>
          <w:tcPr>
            <w:tcW w:w="3060" w:type="dxa"/>
          </w:tcPr>
          <w:p w14:paraId="59CFB528" w14:textId="74A6B2B1" w:rsidR="00E716D6" w:rsidRPr="00E716D6" w:rsidRDefault="00E716D6" w:rsidP="00E716D6">
            <w:pPr>
              <w:jc w:val="center"/>
            </w:pPr>
            <w:r w:rsidRPr="00E716D6">
              <w:t>may be taken to substitute for</w:t>
            </w:r>
          </w:p>
        </w:tc>
        <w:tc>
          <w:tcPr>
            <w:tcW w:w="3150" w:type="dxa"/>
          </w:tcPr>
          <w:p w14:paraId="1065AEE1" w14:textId="77777777" w:rsidR="00E716D6" w:rsidRPr="00344B0F" w:rsidRDefault="00E716D6" w:rsidP="00E716D6">
            <w:r w:rsidRPr="00344B0F">
              <w:t>History of Cultures and Societies</w:t>
            </w:r>
          </w:p>
        </w:tc>
      </w:tr>
      <w:tr w:rsidR="00E716D6" w:rsidRPr="00344B0F" w14:paraId="3043B81B" w14:textId="77777777" w:rsidTr="00E716D6">
        <w:trPr>
          <w:trHeight w:val="298"/>
        </w:trPr>
        <w:tc>
          <w:tcPr>
            <w:tcW w:w="2965" w:type="dxa"/>
          </w:tcPr>
          <w:p w14:paraId="21A6D216" w14:textId="2F13B1DC" w:rsidR="00E716D6" w:rsidRPr="00344B0F" w:rsidRDefault="00E716D6" w:rsidP="00E716D6">
            <w:r>
              <w:t xml:space="preserve">ESSV or </w:t>
            </w:r>
            <w:r w:rsidRPr="00344B0F">
              <w:t>Discovery course:  Any ENGL</w:t>
            </w:r>
            <w:r>
              <w:t xml:space="preserve"> literature</w:t>
            </w:r>
            <w:r w:rsidRPr="00344B0F">
              <w:t xml:space="preserve"> offering</w:t>
            </w:r>
          </w:p>
        </w:tc>
        <w:tc>
          <w:tcPr>
            <w:tcW w:w="3060" w:type="dxa"/>
          </w:tcPr>
          <w:p w14:paraId="17D65CA7" w14:textId="4C04DE1C" w:rsidR="00E716D6" w:rsidRPr="00E716D6" w:rsidRDefault="00E716D6" w:rsidP="00E716D6">
            <w:pPr>
              <w:jc w:val="center"/>
            </w:pPr>
            <w:r w:rsidRPr="00E716D6">
              <w:t>may be taken to substitute for</w:t>
            </w:r>
          </w:p>
        </w:tc>
        <w:tc>
          <w:tcPr>
            <w:tcW w:w="3150" w:type="dxa"/>
          </w:tcPr>
          <w:p w14:paraId="15AD3129" w14:textId="77777777" w:rsidR="00E716D6" w:rsidRPr="00344B0F" w:rsidRDefault="00E716D6" w:rsidP="00E716D6">
            <w:r w:rsidRPr="00344B0F">
              <w:t>Literature &amp; Performing Arts</w:t>
            </w:r>
          </w:p>
        </w:tc>
      </w:tr>
      <w:tr w:rsidR="00E716D6" w:rsidRPr="00344B0F" w14:paraId="7B89DC81" w14:textId="77777777" w:rsidTr="00E716D6">
        <w:trPr>
          <w:trHeight w:val="298"/>
        </w:trPr>
        <w:tc>
          <w:tcPr>
            <w:tcW w:w="2965" w:type="dxa"/>
          </w:tcPr>
          <w:p w14:paraId="30FA9EDA" w14:textId="3BA30B35" w:rsidR="00E716D6" w:rsidRPr="00344B0F" w:rsidRDefault="00E716D6" w:rsidP="00E716D6">
            <w:r>
              <w:t xml:space="preserve">Any </w:t>
            </w:r>
            <w:r w:rsidR="00392946">
              <w:t>THEO</w:t>
            </w:r>
            <w:r>
              <w:t xml:space="preserve"> Offering (in MCC or not)</w:t>
            </w:r>
          </w:p>
        </w:tc>
        <w:tc>
          <w:tcPr>
            <w:tcW w:w="3060" w:type="dxa"/>
          </w:tcPr>
          <w:p w14:paraId="19ACF022" w14:textId="433D53E4" w:rsidR="00E716D6" w:rsidRPr="00E716D6" w:rsidRDefault="00E716D6" w:rsidP="00E716D6">
            <w:pPr>
              <w:jc w:val="center"/>
            </w:pPr>
            <w:r w:rsidRPr="00E716D6">
              <w:t>may be taken to substitute for</w:t>
            </w:r>
          </w:p>
        </w:tc>
        <w:tc>
          <w:tcPr>
            <w:tcW w:w="3150" w:type="dxa"/>
          </w:tcPr>
          <w:p w14:paraId="1A850126" w14:textId="77777777" w:rsidR="00E716D6" w:rsidRPr="00344B0F" w:rsidRDefault="00E716D6" w:rsidP="00E716D6">
            <w:r w:rsidRPr="00344B0F">
              <w:t>Theology (second course)</w:t>
            </w:r>
          </w:p>
        </w:tc>
      </w:tr>
      <w:tr w:rsidR="00E716D6" w:rsidRPr="00344B0F" w14:paraId="25E03680" w14:textId="77777777" w:rsidTr="00E716D6">
        <w:trPr>
          <w:trHeight w:val="596"/>
        </w:trPr>
        <w:tc>
          <w:tcPr>
            <w:tcW w:w="2965" w:type="dxa"/>
          </w:tcPr>
          <w:p w14:paraId="3DF7C2F2" w14:textId="77777777" w:rsidR="00E716D6" w:rsidRDefault="00E716D6" w:rsidP="00E716D6">
            <w:r w:rsidRPr="00344B0F">
              <w:t xml:space="preserve">Discovery course:  </w:t>
            </w:r>
          </w:p>
          <w:p w14:paraId="72DD2890" w14:textId="3D0683B6" w:rsidR="00E716D6" w:rsidRPr="00344B0F" w:rsidRDefault="00E716D6" w:rsidP="00E716D6">
            <w:r>
              <w:t xml:space="preserve">Any </w:t>
            </w:r>
            <w:r>
              <w:rPr>
                <w:b/>
              </w:rPr>
              <w:t>Social Science</w:t>
            </w:r>
          </w:p>
        </w:tc>
        <w:tc>
          <w:tcPr>
            <w:tcW w:w="3060" w:type="dxa"/>
          </w:tcPr>
          <w:p w14:paraId="296A0524" w14:textId="7390B8AE" w:rsidR="00E716D6" w:rsidRPr="00E716D6" w:rsidRDefault="00E716D6" w:rsidP="00E716D6">
            <w:pPr>
              <w:jc w:val="center"/>
            </w:pPr>
            <w:r w:rsidRPr="00E716D6">
              <w:t>may be taken to substitute for</w:t>
            </w:r>
          </w:p>
        </w:tc>
        <w:tc>
          <w:tcPr>
            <w:tcW w:w="3150" w:type="dxa"/>
          </w:tcPr>
          <w:p w14:paraId="6353EE0C" w14:textId="77777777" w:rsidR="00E716D6" w:rsidRPr="00344B0F" w:rsidRDefault="00E716D6" w:rsidP="00E716D6">
            <w:r w:rsidRPr="00344B0F">
              <w:t>Individual and Social behavior</w:t>
            </w:r>
          </w:p>
        </w:tc>
      </w:tr>
      <w:tr w:rsidR="00E716D6" w:rsidRPr="00344B0F" w14:paraId="360B23DA" w14:textId="77777777" w:rsidTr="00E716D6">
        <w:trPr>
          <w:trHeight w:val="298"/>
        </w:trPr>
        <w:tc>
          <w:tcPr>
            <w:tcW w:w="2965" w:type="dxa"/>
          </w:tcPr>
          <w:p w14:paraId="153342BF" w14:textId="77777777" w:rsidR="00E716D6" w:rsidRDefault="00E716D6" w:rsidP="00E716D6">
            <w:r w:rsidRPr="00344B0F">
              <w:t xml:space="preserve">Discovery course: </w:t>
            </w:r>
          </w:p>
          <w:p w14:paraId="259794CF" w14:textId="64FE91FB" w:rsidR="00E716D6" w:rsidRPr="004000FA" w:rsidRDefault="00E716D6" w:rsidP="00E716D6">
            <w:pPr>
              <w:rPr>
                <w:b/>
              </w:rPr>
            </w:pPr>
            <w:r w:rsidRPr="00344B0F">
              <w:t xml:space="preserve">Any </w:t>
            </w:r>
            <w:r>
              <w:rPr>
                <w:b/>
              </w:rPr>
              <w:t>Math</w:t>
            </w:r>
          </w:p>
        </w:tc>
        <w:tc>
          <w:tcPr>
            <w:tcW w:w="3060" w:type="dxa"/>
          </w:tcPr>
          <w:p w14:paraId="4334878A" w14:textId="1EF59193" w:rsidR="00E716D6" w:rsidRPr="00E716D6" w:rsidRDefault="00E716D6" w:rsidP="00E716D6">
            <w:pPr>
              <w:jc w:val="center"/>
            </w:pPr>
            <w:r w:rsidRPr="00E716D6">
              <w:t>may be taken to substitute for</w:t>
            </w:r>
          </w:p>
        </w:tc>
        <w:tc>
          <w:tcPr>
            <w:tcW w:w="3150" w:type="dxa"/>
          </w:tcPr>
          <w:p w14:paraId="514097C4" w14:textId="77777777" w:rsidR="00E716D6" w:rsidRPr="00344B0F" w:rsidRDefault="00E716D6" w:rsidP="00E716D6">
            <w:r w:rsidRPr="00344B0F">
              <w:t>Mathematical Reasoning</w:t>
            </w:r>
          </w:p>
        </w:tc>
      </w:tr>
      <w:tr w:rsidR="00E716D6" w:rsidRPr="00344B0F" w14:paraId="39E19B8A" w14:textId="77777777" w:rsidTr="00E716D6">
        <w:trPr>
          <w:trHeight w:val="596"/>
        </w:trPr>
        <w:tc>
          <w:tcPr>
            <w:tcW w:w="2965" w:type="dxa"/>
          </w:tcPr>
          <w:p w14:paraId="57D3DAC1" w14:textId="77777777" w:rsidR="00E716D6" w:rsidRDefault="00E716D6" w:rsidP="00E716D6">
            <w:r w:rsidRPr="00344B0F">
              <w:t xml:space="preserve">Discovery course: </w:t>
            </w:r>
          </w:p>
          <w:p w14:paraId="646B4061" w14:textId="6A9456D3" w:rsidR="00E716D6" w:rsidRPr="00344B0F" w:rsidRDefault="00E716D6" w:rsidP="00E716D6">
            <w:r>
              <w:t xml:space="preserve">Any </w:t>
            </w:r>
            <w:r w:rsidRPr="003934A2">
              <w:rPr>
                <w:b/>
              </w:rPr>
              <w:t>Natural Science</w:t>
            </w:r>
            <w:r>
              <w:t xml:space="preserve"> </w:t>
            </w:r>
          </w:p>
        </w:tc>
        <w:tc>
          <w:tcPr>
            <w:tcW w:w="3060" w:type="dxa"/>
          </w:tcPr>
          <w:p w14:paraId="0191AF72" w14:textId="54BF7286" w:rsidR="00E716D6" w:rsidRPr="00E716D6" w:rsidRDefault="00E716D6" w:rsidP="00E716D6">
            <w:pPr>
              <w:jc w:val="center"/>
            </w:pPr>
            <w:r w:rsidRPr="00E716D6">
              <w:t>may be taken to substitute for</w:t>
            </w:r>
          </w:p>
        </w:tc>
        <w:tc>
          <w:tcPr>
            <w:tcW w:w="3150" w:type="dxa"/>
          </w:tcPr>
          <w:p w14:paraId="4D045299" w14:textId="77777777" w:rsidR="00E716D6" w:rsidRPr="00344B0F" w:rsidRDefault="00E716D6" w:rsidP="00E716D6">
            <w:r w:rsidRPr="00344B0F">
              <w:t>Science and Nature</w:t>
            </w:r>
          </w:p>
        </w:tc>
      </w:tr>
      <w:tr w:rsidR="00E716D6" w:rsidRPr="00344B0F" w14:paraId="1DEBFDB6" w14:textId="77777777" w:rsidTr="00E716D6">
        <w:trPr>
          <w:trHeight w:val="298"/>
        </w:trPr>
        <w:tc>
          <w:tcPr>
            <w:tcW w:w="2965" w:type="dxa"/>
          </w:tcPr>
          <w:p w14:paraId="1F18C7EA" w14:textId="77777777" w:rsidR="00E716D6" w:rsidRPr="00344B0F" w:rsidRDefault="00E716D6" w:rsidP="00E716D6">
            <w:r w:rsidRPr="00344B0F">
              <w:t>Writing Intensive Designated course</w:t>
            </w:r>
          </w:p>
        </w:tc>
        <w:tc>
          <w:tcPr>
            <w:tcW w:w="3060" w:type="dxa"/>
          </w:tcPr>
          <w:p w14:paraId="14BA1A20" w14:textId="4816C14D" w:rsidR="00E716D6" w:rsidRPr="00E716D6" w:rsidRDefault="00E716D6" w:rsidP="00E716D6">
            <w:pPr>
              <w:jc w:val="center"/>
            </w:pPr>
            <w:r w:rsidRPr="00E716D6">
              <w:t>may be taken to substitute for</w:t>
            </w:r>
          </w:p>
        </w:tc>
        <w:tc>
          <w:tcPr>
            <w:tcW w:w="3150" w:type="dxa"/>
          </w:tcPr>
          <w:p w14:paraId="4289075B" w14:textId="77777777" w:rsidR="00E716D6" w:rsidRPr="00344B0F" w:rsidRDefault="00E716D6" w:rsidP="00E716D6">
            <w:r w:rsidRPr="00344B0F">
              <w:t>ENGL 1002</w:t>
            </w:r>
          </w:p>
        </w:tc>
      </w:tr>
    </w:tbl>
    <w:p w14:paraId="2AA920FD" w14:textId="77777777" w:rsidR="00DC4E00" w:rsidRDefault="00DC4E00"/>
    <w:p w14:paraId="3B211952" w14:textId="77777777" w:rsidR="00EE1ED9" w:rsidRDefault="00EE1ED9"/>
    <w:p w14:paraId="7FD53C39" w14:textId="43A98133" w:rsidR="00EE1ED9" w:rsidRDefault="00EE1ED9"/>
    <w:sectPr w:rsidR="00EE1ED9" w:rsidSect="00427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4CA3"/>
    <w:multiLevelType w:val="hybridMultilevel"/>
    <w:tmpl w:val="04C8D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095"/>
    <w:rsid w:val="000C40F6"/>
    <w:rsid w:val="00275DB8"/>
    <w:rsid w:val="00354095"/>
    <w:rsid w:val="00360453"/>
    <w:rsid w:val="003750C9"/>
    <w:rsid w:val="00392946"/>
    <w:rsid w:val="0042763B"/>
    <w:rsid w:val="006931C2"/>
    <w:rsid w:val="00712AA0"/>
    <w:rsid w:val="008B2D3C"/>
    <w:rsid w:val="00A105A3"/>
    <w:rsid w:val="00B3325C"/>
    <w:rsid w:val="00B6371D"/>
    <w:rsid w:val="00C472F5"/>
    <w:rsid w:val="00C53647"/>
    <w:rsid w:val="00CB5470"/>
    <w:rsid w:val="00CF2371"/>
    <w:rsid w:val="00D74874"/>
    <w:rsid w:val="00DC4E00"/>
    <w:rsid w:val="00DE1A8D"/>
    <w:rsid w:val="00E716D6"/>
    <w:rsid w:val="00EE1ED9"/>
    <w:rsid w:val="00EF4AD5"/>
    <w:rsid w:val="00F4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BB30"/>
  <w14:defaultImageDpi w14:val="32767"/>
  <w15:chartTrackingRefBased/>
  <w15:docId w15:val="{7B1B9DBA-9130-7340-84C2-5D116191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0F6"/>
    <w:rPr>
      <w:color w:val="0563C1" w:themeColor="hyperlink"/>
      <w:u w:val="single"/>
    </w:rPr>
  </w:style>
  <w:style w:type="character" w:styleId="UnresolvedMention">
    <w:name w:val="Unresolved Mention"/>
    <w:basedOn w:val="DefaultParagraphFont"/>
    <w:uiPriority w:val="99"/>
    <w:rsid w:val="000C40F6"/>
    <w:rPr>
      <w:color w:val="605E5C"/>
      <w:shd w:val="clear" w:color="auto" w:fill="E1DFDD"/>
    </w:rPr>
  </w:style>
  <w:style w:type="table" w:styleId="TableGrid">
    <w:name w:val="Table Grid"/>
    <w:basedOn w:val="TableNormal"/>
    <w:uiPriority w:val="39"/>
    <w:rsid w:val="00DC4E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6D6"/>
    <w:rPr>
      <w:rFonts w:ascii="Segoe UI" w:hAnsi="Segoe UI" w:cs="Segoe UI"/>
      <w:sz w:val="18"/>
      <w:szCs w:val="18"/>
    </w:rPr>
  </w:style>
  <w:style w:type="paragraph" w:styleId="ListParagraph">
    <w:name w:val="List Paragraph"/>
    <w:basedOn w:val="Normal"/>
    <w:uiPriority w:val="34"/>
    <w:qFormat/>
    <w:rsid w:val="00E716D6"/>
    <w:pPr>
      <w:ind w:left="720"/>
      <w:contextualSpacing/>
    </w:pPr>
  </w:style>
  <w:style w:type="character" w:styleId="FollowedHyperlink">
    <w:name w:val="FollowedHyperlink"/>
    <w:basedOn w:val="DefaultParagraphFont"/>
    <w:uiPriority w:val="99"/>
    <w:semiHidden/>
    <w:unhideWhenUsed/>
    <w:rsid w:val="00DE1A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quette.edu/mucentral/registrar/documents/Form-UndergraduateUCCSSubstit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quette.edu/mucentral/registrar/documents/Form-UndergraduateDeclarationChangeofCoreCurriculumDiscoveryTierTheme.pdf" TargetMode="External"/><Relationship Id="rId5" Type="http://schemas.openxmlformats.org/officeDocument/2006/relationships/hyperlink" Target="http://www.marquette.edu/core-curriculum/discovery-themes-courses.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Marten, James</dc:creator>
  <cp:keywords/>
  <dc:description/>
  <cp:lastModifiedBy>Carolyne</cp:lastModifiedBy>
  <cp:revision>5</cp:revision>
  <dcterms:created xsi:type="dcterms:W3CDTF">2019-02-07T15:48:00Z</dcterms:created>
  <dcterms:modified xsi:type="dcterms:W3CDTF">2019-03-01T18:16:00Z</dcterms:modified>
</cp:coreProperties>
</file>