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62C6" w14:textId="77777777" w:rsidR="004868F1" w:rsidRPr="00501D81" w:rsidRDefault="004868F1" w:rsidP="004868F1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14:paraId="28BF04AE" w14:textId="77777777" w:rsidR="004868F1" w:rsidRDefault="004868F1" w:rsidP="004868F1">
      <w:pPr>
        <w:tabs>
          <w:tab w:val="left" w:pos="360"/>
          <w:tab w:val="left" w:pos="720"/>
        </w:tabs>
        <w:rPr>
          <w:szCs w:val="24"/>
        </w:rPr>
        <w:sectPr w:rsidR="004868F1"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3909"/>
      </w:tblGrid>
      <w:tr w:rsidR="004868F1" w:rsidRPr="002C34DD" w14:paraId="376584C1" w14:textId="77777777" w:rsidTr="00EF588A">
        <w:tc>
          <w:tcPr>
            <w:tcW w:w="828" w:type="dxa"/>
            <w:shd w:val="clear" w:color="auto" w:fill="EFF9FF"/>
            <w:vAlign w:val="center"/>
          </w:tcPr>
          <w:p w14:paraId="432361FD" w14:textId="77777777" w:rsidR="004868F1" w:rsidRPr="002C34DD" w:rsidRDefault="00BE0D38" w:rsidP="004868F1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 wp14:anchorId="3C3E7CC4" wp14:editId="44453A67">
                  <wp:extent cx="506730" cy="371475"/>
                  <wp:effectExtent l="0" t="0" r="0" b="0"/>
                  <wp:docPr id="1" name="Picture 1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14:paraId="19745A45" w14:textId="77777777" w:rsidR="006E4AE2" w:rsidRDefault="004868F1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</w:p>
          <w:p w14:paraId="3F72EFC7" w14:textId="1209B513" w:rsidR="004868F1" w:rsidRPr="00F17333" w:rsidRDefault="006F2376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229D">
              <w:rPr>
                <w:rStyle w:val="VARIABLE"/>
                <w:szCs w:val="24"/>
              </w:rPr>
              <w:t>1-800-207-3172</w:t>
            </w:r>
            <w:r w:rsidR="004868F1" w:rsidRPr="00F17333">
              <w:rPr>
                <w:szCs w:val="24"/>
              </w:rPr>
              <w:t>.</w:t>
            </w:r>
            <w:r w:rsidR="004868F1">
              <w:rPr>
                <w:szCs w:val="24"/>
              </w:rPr>
              <w:t xml:space="preserve"> For general definitions of common terms, such as </w:t>
            </w:r>
            <w:r w:rsidR="004868F1" w:rsidRPr="00B90195">
              <w:rPr>
                <w:color w:val="0066FF"/>
                <w:szCs w:val="24"/>
                <w:u w:val="single"/>
              </w:rPr>
              <w:t>allowed amount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balance billing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coinsurance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copayment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deductible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provider</w:t>
            </w:r>
            <w:r w:rsidR="004868F1">
              <w:rPr>
                <w:szCs w:val="24"/>
              </w:rPr>
              <w:t xml:space="preserve">, or other </w:t>
            </w:r>
            <w:r w:rsidR="004868F1" w:rsidRPr="00194D17">
              <w:rPr>
                <w:szCs w:val="24"/>
                <w:u w:val="single"/>
              </w:rPr>
              <w:t>underlined</w:t>
            </w:r>
            <w:r w:rsidR="004868F1">
              <w:rPr>
                <w:szCs w:val="24"/>
              </w:rPr>
              <w:t xml:space="preserve"> terms see the Glossary. You can view the Glossary at </w:t>
            </w:r>
            <w:hyperlink r:id="rId11" w:history="1">
              <w:r w:rsidR="004868F1"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="004868F1">
              <w:rPr>
                <w:rFonts w:cs="Lucida Console"/>
                <w:szCs w:val="24"/>
              </w:rPr>
              <w:t xml:space="preserve"> </w:t>
            </w:r>
            <w:r w:rsidR="004868F1" w:rsidRPr="00F17333">
              <w:rPr>
                <w:szCs w:val="24"/>
              </w:rPr>
              <w:t xml:space="preserve">or call </w:t>
            </w:r>
            <w:r w:rsidRPr="007C229D">
              <w:rPr>
                <w:rStyle w:val="VARIABLE"/>
                <w:szCs w:val="24"/>
              </w:rPr>
              <w:t>1-800-207-3172</w:t>
            </w:r>
            <w:r w:rsidR="004868F1">
              <w:rPr>
                <w:szCs w:val="24"/>
              </w:rPr>
              <w:t xml:space="preserve"> to request a copy.</w:t>
            </w:r>
          </w:p>
        </w:tc>
      </w:tr>
    </w:tbl>
    <w:p w14:paraId="4CA2A353" w14:textId="77777777" w:rsidR="004868F1" w:rsidRPr="002C34DD" w:rsidRDefault="004868F1" w:rsidP="004868F1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34" w:type="dxa"/>
        <w:tblLayout w:type="fixed"/>
        <w:tblLook w:val="04A0" w:firstRow="1" w:lastRow="0" w:firstColumn="1" w:lastColumn="0" w:noHBand="0" w:noVBand="1"/>
      </w:tblPr>
      <w:tblGrid>
        <w:gridCol w:w="828"/>
        <w:gridCol w:w="1800"/>
        <w:gridCol w:w="4384"/>
        <w:gridCol w:w="7722"/>
      </w:tblGrid>
      <w:tr w:rsidR="004868F1" w:rsidRPr="00D77B99" w14:paraId="70C13976" w14:textId="77777777" w:rsidTr="006E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8" w:type="dxa"/>
            <w:gridSpan w:val="2"/>
          </w:tcPr>
          <w:p w14:paraId="16607E5F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384" w:type="dxa"/>
          </w:tcPr>
          <w:p w14:paraId="0EDCC67A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722" w:type="dxa"/>
          </w:tcPr>
          <w:p w14:paraId="46B6E021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:rsidR="005F683A" w:rsidRPr="00D77B99" w14:paraId="332CC93E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3FC65E27" w14:textId="625FDA94" w:rsidR="005F683A" w:rsidRPr="00F17333" w:rsidRDefault="005F683A" w:rsidP="005F683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53DEE12A" w14:textId="754C91A3" w:rsidR="005F683A" w:rsidRPr="00F17333" w:rsidRDefault="00910E77" w:rsidP="005F683A">
            <w:pPr>
              <w:rPr>
                <w:rFonts w:eastAsia="Calibri"/>
                <w:szCs w:val="24"/>
              </w:rPr>
            </w:pPr>
            <w:r w:rsidRPr="00C204A2">
              <w:rPr>
                <w:rStyle w:val="VARIABLE"/>
                <w:b/>
                <w:bCs/>
                <w:szCs w:val="24"/>
              </w:rPr>
              <w:t>$</w:t>
            </w:r>
            <w:r w:rsidR="008B506A">
              <w:rPr>
                <w:rStyle w:val="VARIABLE"/>
                <w:b/>
                <w:bCs/>
                <w:szCs w:val="24"/>
              </w:rPr>
              <w:t>1,000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FF7389" w:rsidRPr="00C204A2">
              <w:rPr>
                <w:rStyle w:val="VARIABLE"/>
                <w:b/>
                <w:bCs/>
                <w:szCs w:val="24"/>
              </w:rPr>
              <w:t>$</w:t>
            </w:r>
            <w:r w:rsidR="008B506A">
              <w:rPr>
                <w:rStyle w:val="VARIABLE"/>
                <w:b/>
                <w:bCs/>
                <w:szCs w:val="24"/>
              </w:rPr>
              <w:t>2,000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922A0A" w:rsidRPr="00C204A2">
              <w:rPr>
                <w:rStyle w:val="VARIABLE"/>
                <w:szCs w:val="24"/>
              </w:rPr>
              <w:t>In-network</w:t>
            </w:r>
          </w:p>
          <w:p w14:paraId="5C2DBBA5" w14:textId="2A7D5600" w:rsidR="005F683A" w:rsidRPr="001A3506" w:rsidRDefault="00922A0A" w:rsidP="005F683A">
            <w:pPr>
              <w:rPr>
                <w:rFonts w:eastAsia="Tahoma"/>
                <w:szCs w:val="24"/>
              </w:rPr>
            </w:pPr>
            <w:r w:rsidRPr="003217E2">
              <w:rPr>
                <w:rStyle w:val="VARIABLE"/>
                <w:b/>
                <w:bCs/>
                <w:szCs w:val="24"/>
              </w:rPr>
              <w:t>$</w:t>
            </w:r>
            <w:r w:rsidR="008B506A">
              <w:rPr>
                <w:rStyle w:val="VARIABLE"/>
                <w:b/>
                <w:bCs/>
                <w:szCs w:val="24"/>
              </w:rPr>
              <w:t>2,000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6C6768" w:rsidRPr="003217E2">
              <w:rPr>
                <w:rStyle w:val="VARIABLE"/>
                <w:b/>
                <w:bCs/>
                <w:szCs w:val="24"/>
              </w:rPr>
              <w:t>$</w:t>
            </w:r>
            <w:r w:rsidR="008B506A">
              <w:rPr>
                <w:rStyle w:val="VARIABLE"/>
                <w:b/>
                <w:bCs/>
                <w:szCs w:val="24"/>
              </w:rPr>
              <w:t>4,000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6C6768" w:rsidRPr="003217E2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722" w:type="dxa"/>
          </w:tcPr>
          <w:p w14:paraId="61847FEE" w14:textId="2A40A804" w:rsidR="005F683A" w:rsidRPr="00F17333" w:rsidRDefault="005F683A" w:rsidP="005F68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:rsidR="00266F0E" w:rsidRPr="00D77B99" w14:paraId="249EB618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665AA7E9" w14:textId="39CAF54C" w:rsidR="00266F0E" w:rsidRPr="00F17333" w:rsidRDefault="00266F0E" w:rsidP="00266F0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384" w:type="dxa"/>
          </w:tcPr>
          <w:p w14:paraId="3EE88A4F" w14:textId="0D441E51" w:rsidR="00266F0E" w:rsidRPr="00F17333" w:rsidRDefault="00266F0E" w:rsidP="00266F0E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722" w:type="dxa"/>
          </w:tcPr>
          <w:p w14:paraId="7A0ECB6B" w14:textId="39ABFAD1" w:rsidR="00266F0E" w:rsidRPr="00F17333" w:rsidRDefault="00266F0E" w:rsidP="00266F0E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B90195">
                <w:rPr>
                  <w:rStyle w:val="Hyperlink"/>
                  <w:color w:val="0066FF"/>
                </w:rPr>
                <w:t>https://www.healthcare.gov/coverage/preventive-care-benefits/</w:t>
              </w:r>
            </w:hyperlink>
          </w:p>
        </w:tc>
      </w:tr>
      <w:tr w:rsidR="00266F0E" w:rsidRPr="00D77B99" w14:paraId="0CEC1384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7EEE25D2" w14:textId="33BE65CE" w:rsidR="00266F0E" w:rsidRPr="002E7496" w:rsidRDefault="00266F0E" w:rsidP="00266F0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384" w:type="dxa"/>
          </w:tcPr>
          <w:p w14:paraId="112DDDF5" w14:textId="2A545406" w:rsidR="00266F0E" w:rsidRDefault="00266F0E" w:rsidP="00266F0E">
            <w:r w:rsidRPr="00F17333">
              <w:rPr>
                <w:szCs w:val="24"/>
              </w:rPr>
              <w:t>No.</w:t>
            </w:r>
          </w:p>
        </w:tc>
        <w:tc>
          <w:tcPr>
            <w:tcW w:w="7722" w:type="dxa"/>
          </w:tcPr>
          <w:p w14:paraId="27A8AC70" w14:textId="002828E6" w:rsidR="00266F0E" w:rsidRPr="006846B4" w:rsidRDefault="00266F0E" w:rsidP="00266F0E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:rsidR="0030518A" w:rsidRPr="00D77B99" w14:paraId="7C1B85FD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3FBA88EB" w14:textId="78F9AD39" w:rsidR="0030518A" w:rsidRPr="00F17333" w:rsidRDefault="0030518A" w:rsidP="003051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1D775454" w14:textId="3EF22E79" w:rsidR="0030518A" w:rsidRPr="00C456C5" w:rsidRDefault="003A30CF" w:rsidP="0030518A">
            <w:pPr>
              <w:rPr>
                <w:rFonts w:ascii="Arial" w:eastAsia="Calibri" w:hAnsi="Arial"/>
                <w:sz w:val="20"/>
              </w:rPr>
            </w:pPr>
            <w:r w:rsidRPr="002C5169">
              <w:rPr>
                <w:rStyle w:val="VARIABLE"/>
                <w:b/>
                <w:bCs/>
                <w:szCs w:val="24"/>
              </w:rPr>
              <w:t>$4,000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="00BA69E8" w:rsidRPr="00871A4A">
              <w:t xml:space="preserve"> </w:t>
            </w:r>
            <w:r w:rsidR="00946ECA" w:rsidRPr="002C5169">
              <w:rPr>
                <w:rStyle w:val="VARIABLE"/>
                <w:b/>
                <w:bCs/>
                <w:szCs w:val="24"/>
              </w:rPr>
              <w:t>$8,000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946ECA" w:rsidRPr="002C5169">
              <w:rPr>
                <w:rStyle w:val="VARIABLE"/>
                <w:szCs w:val="24"/>
              </w:rPr>
              <w:t>In-network</w:t>
            </w:r>
          </w:p>
          <w:p w14:paraId="05EACE4C" w14:textId="0CA8C897" w:rsidR="0030518A" w:rsidRPr="00F17333" w:rsidRDefault="00912C7B" w:rsidP="0030518A">
            <w:pPr>
              <w:rPr>
                <w:rFonts w:eastAsia="Calibri"/>
                <w:szCs w:val="24"/>
              </w:rPr>
            </w:pPr>
            <w:r w:rsidRPr="002C5169">
              <w:rPr>
                <w:rStyle w:val="VARIABLE"/>
                <w:b/>
                <w:bCs/>
                <w:szCs w:val="24"/>
              </w:rPr>
              <w:t>$8,000</w:t>
            </w:r>
            <w:r w:rsidR="0030518A" w:rsidRPr="00F17333">
              <w:rPr>
                <w:rFonts w:eastAsia="Calibri"/>
                <w:szCs w:val="24"/>
              </w:rPr>
              <w:t xml:space="preserve"> person /</w:t>
            </w:r>
            <w:r w:rsidR="00BA6FE6" w:rsidRPr="00BA6FE6">
              <w:t xml:space="preserve"> </w:t>
            </w:r>
            <w:r w:rsidR="000D283C" w:rsidRPr="002C5169">
              <w:rPr>
                <w:rStyle w:val="VARIABLE"/>
                <w:b/>
                <w:bCs/>
                <w:szCs w:val="24"/>
              </w:rPr>
              <w:t>$16,000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0D283C" w:rsidRPr="002C5169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722" w:type="dxa"/>
          </w:tcPr>
          <w:p w14:paraId="558C22AF" w14:textId="172B0A8B" w:rsidR="0030518A" w:rsidRPr="00F17333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:rsidR="00BB414A" w:rsidRPr="00D77B99" w14:paraId="7750FE04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72205706" w14:textId="5AC47BA8" w:rsidR="00BB414A" w:rsidRPr="00F17333" w:rsidRDefault="00BB414A" w:rsidP="00BB4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5DB776F7" w14:textId="3EC8C395" w:rsidR="00BB414A" w:rsidRPr="00946ECA" w:rsidRDefault="00BB414A" w:rsidP="00BB414A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722" w:type="dxa"/>
          </w:tcPr>
          <w:p w14:paraId="625BD03F" w14:textId="37040605" w:rsidR="00BB414A" w:rsidRPr="00F17333" w:rsidRDefault="00BB414A" w:rsidP="00BB414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D77B99" w14:paraId="65F63928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6809B1F5" w14:textId="38AE4EA8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56FD046E" w14:textId="6FB1DEF5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B90195">
                <w:rPr>
                  <w:rStyle w:val="Hyperlink"/>
                  <w:color w:val="0066FF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1-800-207-3172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722" w:type="dxa"/>
          </w:tcPr>
          <w:p w14:paraId="439FD68A" w14:textId="0F60E695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="00691E0F" w:rsidRPr="00B84ED5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="00691E0F" w:rsidRPr="00B90195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:rsidR="00AF6D32" w:rsidRPr="00D77B99" w14:paraId="70C33FFA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tcW w:w="2628" w:type="dxa"/>
            <w:gridSpan w:val="2"/>
          </w:tcPr>
          <w:p w14:paraId="1ABAC1E3" w14:textId="044A6D05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09ACE787" w14:textId="36451B81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722" w:type="dxa"/>
          </w:tcPr>
          <w:p w14:paraId="493AD326" w14:textId="143CF0AB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2C34DD" w14:paraId="18D8C551" w14:textId="77777777" w:rsidTr="00F92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8" w:type="dxa"/>
          </w:tcPr>
          <w:p w14:paraId="32821433" w14:textId="77777777" w:rsidR="00AF6D32" w:rsidRPr="00105A3B" w:rsidRDefault="00AF6D32" w:rsidP="00AF6D32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lastRenderedPageBreak/>
              <w:drawing>
                <wp:inline distT="0" distB="0" distL="0" distR="0" wp14:anchorId="2EDE5B09" wp14:editId="2357250A">
                  <wp:extent cx="506730" cy="371475"/>
                  <wp:effectExtent l="0" t="0" r="0" b="0"/>
                  <wp:docPr id="2" name="Picture 2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6" w:type="dxa"/>
            <w:gridSpan w:val="3"/>
          </w:tcPr>
          <w:p w14:paraId="434DC058" w14:textId="77777777" w:rsidR="00AF6D32" w:rsidRPr="00D77B99" w:rsidRDefault="00AF6D32" w:rsidP="00AF6D32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14:paraId="301B8C48" w14:textId="77777777" w:rsidR="00B96C9E" w:rsidRPr="00F559B5" w:rsidRDefault="00B96C9E" w:rsidP="004868F1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695" w:type="dxa"/>
        <w:tblLayout w:type="fixed"/>
        <w:tblLook w:val="04A0" w:firstRow="1" w:lastRow="0" w:firstColumn="1" w:lastColumn="0" w:noHBand="0" w:noVBand="1"/>
      </w:tblPr>
      <w:tblGrid>
        <w:gridCol w:w="1612"/>
        <w:gridCol w:w="2790"/>
        <w:gridCol w:w="2880"/>
        <w:gridCol w:w="2880"/>
        <w:gridCol w:w="4533"/>
      </w:tblGrid>
      <w:tr w:rsidR="004E0AA9" w:rsidRPr="00D77B99" w14:paraId="30A7C411" w14:textId="77777777" w:rsidTr="006E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</w:tcPr>
          <w:p w14:paraId="28F901F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2790" w:type="dxa"/>
            <w:vMerge w:val="restart"/>
          </w:tcPr>
          <w:p w14:paraId="73CD1879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5760" w:type="dxa"/>
            <w:gridSpan w:val="2"/>
          </w:tcPr>
          <w:p w14:paraId="1E30DF8E" w14:textId="1B3ED6E1" w:rsidR="004E0AA9" w:rsidRPr="00F17333" w:rsidRDefault="004E0AA9" w:rsidP="00B54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4533" w:type="dxa"/>
            <w:vMerge w:val="restart"/>
          </w:tcPr>
          <w:p w14:paraId="53FD1F54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:rsidR="004E0AA9" w:rsidRPr="00D77B99" w14:paraId="1D5D19C9" w14:textId="77777777" w:rsidTr="006E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29DED9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790" w:type="dxa"/>
            <w:vMerge/>
          </w:tcPr>
          <w:p w14:paraId="4FB08648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880" w:type="dxa"/>
          </w:tcPr>
          <w:p w14:paraId="555F13F5" w14:textId="77777777" w:rsidR="004E0AA9" w:rsidRPr="0086270F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14:paraId="1028BD88" w14:textId="52CE3BA6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880" w:type="dxa"/>
          </w:tcPr>
          <w:p w14:paraId="3FD64D23" w14:textId="77777777" w:rsidR="004E0AA9" w:rsidRPr="0086270F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14:paraId="421C5C7C" w14:textId="60D36783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4533" w:type="dxa"/>
            <w:vMerge/>
          </w:tcPr>
          <w:p w14:paraId="5514E334" w14:textId="77777777" w:rsidR="004E0AA9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</w:tr>
      <w:tr w:rsidR="004E0AA9" w:rsidRPr="002C34DD" w14:paraId="2A1F9D5D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086ECAFC" w14:textId="3FD8E968" w:rsidR="004E0AA9" w:rsidRPr="00F17333" w:rsidRDefault="004E0AA9" w:rsidP="0003018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1D6DD4D4" w14:textId="7F7F1152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A8BA64F" w14:textId="77777777" w:rsidR="004E0AA9" w:rsidRPr="000670C9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$25 Copay per visit; 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98A9419" w14:textId="550B346F" w:rsidR="004E0AA9" w:rsidRPr="00EF4CAF" w:rsidRDefault="00A0444C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746036B4" w14:textId="4FB6E40F" w:rsidR="004E0AA9" w:rsidRPr="007E5CFC" w:rsidRDefault="004E0AA9" w:rsidP="007E5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7803EC63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9E4C9EF" w14:textId="77777777" w:rsidR="004E0AA9" w:rsidRPr="00F17333" w:rsidRDefault="004E0AA9" w:rsidP="0003018B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7923A4CC" w14:textId="304BC396" w:rsidR="004E0AA9" w:rsidRPr="00F17333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2880" w:type="dxa"/>
          </w:tcPr>
          <w:p w14:paraId="380BE04C" w14:textId="77777777" w:rsidR="004E0AA9" w:rsidRPr="000670C9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$50 Copay per visit; Deductible Waived</w:t>
            </w:r>
          </w:p>
        </w:tc>
        <w:tc>
          <w:tcPr>
            <w:tcW w:w="2880" w:type="dxa"/>
          </w:tcPr>
          <w:p w14:paraId="6776112E" w14:textId="427F8656" w:rsidR="004E0AA9" w:rsidRPr="00EF4CAF" w:rsidRDefault="00A0444C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4533" w:type="dxa"/>
          </w:tcPr>
          <w:p w14:paraId="377E0148" w14:textId="6621A921" w:rsidR="004E0AA9" w:rsidRPr="007E5CFC" w:rsidRDefault="004E0AA9" w:rsidP="007E5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6E4AE2" w:rsidRPr="002C34DD" w14:paraId="13909603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49908BDF" w14:textId="77777777" w:rsidR="006E4AE2" w:rsidRPr="00F17333" w:rsidRDefault="006E4AE2" w:rsidP="006E4AE2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4952D83B" w14:textId="1777DA9D" w:rsidR="006E4AE2" w:rsidRPr="00F17333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352057B0" w14:textId="77777777" w:rsidR="006E4AE2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No charge; </w:t>
            </w:r>
          </w:p>
          <w:p w14:paraId="5051250C" w14:textId="34D0C20C" w:rsidR="006E4AE2" w:rsidRPr="000670C9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 xml:space="preserve">Deductible Waived 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3E30B2" w14:textId="421FC888" w:rsidR="006E4AE2" w:rsidRPr="00EF4CAF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0EDEC74D" w14:textId="510AC4C2" w:rsidR="006E4AE2" w:rsidRPr="00F17333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467AFB">
              <w:rPr>
                <w:szCs w:val="24"/>
              </w:rPr>
              <w:t>provider</w:t>
            </w:r>
            <w:r>
              <w:rPr>
                <w:szCs w:val="24"/>
              </w:rPr>
              <w:t xml:space="preserve"> if the services you need are preventive. Then check what your </w:t>
            </w:r>
            <w:r w:rsidRPr="00467AFB">
              <w:rPr>
                <w:szCs w:val="24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:rsidR="006E4AE2" w:rsidRPr="00D77B99" w14:paraId="6E44EB66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22693CCF" w14:textId="0872AB30" w:rsidR="006E4AE2" w:rsidRPr="00F17333" w:rsidRDefault="006E4AE2" w:rsidP="006E4AE2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0ECE2536" w14:textId="77777777" w:rsidR="006E4AE2" w:rsidRDefault="006E4AE2" w:rsidP="006E4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Pr="00F17333">
              <w:rPr>
                <w:szCs w:val="24"/>
              </w:rPr>
              <w:t xml:space="preserve"> </w:t>
            </w:r>
          </w:p>
          <w:p w14:paraId="3A4EA5DE" w14:textId="1472AFC7" w:rsidR="006E4AE2" w:rsidRPr="00F17333" w:rsidRDefault="006E4AE2" w:rsidP="006E4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(x-ray, blood work)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FFB88CB" w14:textId="77777777" w:rsidR="006E4AE2" w:rsidRDefault="006E4AE2" w:rsidP="006E4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No charge; </w:t>
            </w:r>
          </w:p>
          <w:p w14:paraId="7AFAA199" w14:textId="6FBBC410" w:rsidR="006E4AE2" w:rsidRPr="00213159" w:rsidRDefault="006E4AE2" w:rsidP="006E4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Deductible Waived 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75AAF45" w14:textId="7D41E82B" w:rsidR="006E4AE2" w:rsidRPr="00EF4CAF" w:rsidRDefault="006E4AE2" w:rsidP="006E4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7D02C4CD" w14:textId="738506F0" w:rsidR="006E4AE2" w:rsidRPr="00213159" w:rsidRDefault="006E4AE2" w:rsidP="006E4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6E4AE2" w:rsidRPr="00D77B99" w14:paraId="0A55237B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65079CDE" w14:textId="77777777" w:rsidR="006E4AE2" w:rsidRPr="00F17333" w:rsidRDefault="006E4AE2" w:rsidP="006E4AE2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73931A66" w14:textId="77777777" w:rsidR="006E4AE2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Imaging </w:t>
            </w:r>
          </w:p>
          <w:p w14:paraId="7019D161" w14:textId="157639C6" w:rsidR="006E4AE2" w:rsidRPr="00F17333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B1AE7F8" w14:textId="77777777" w:rsidR="006E4AE2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No charge; </w:t>
            </w:r>
          </w:p>
          <w:p w14:paraId="004867E1" w14:textId="6241E172" w:rsidR="006E4AE2" w:rsidRPr="00213159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Deductible Waived</w:t>
            </w:r>
            <w:r>
              <w:rPr>
                <w:rStyle w:val="VARIABLE"/>
              </w:rPr>
              <w:t xml:space="preserve"> Office setting</w:t>
            </w:r>
            <w:r w:rsidRPr="00213159">
              <w:rPr>
                <w:rStyle w:val="VARIABLE"/>
              </w:rPr>
              <w:t>; 20% Coinsurance Outpatient setting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23E01D" w14:textId="6DC47CEA" w:rsidR="006E4AE2" w:rsidRPr="00EF4CAF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1D596A71" w14:textId="320C5911" w:rsidR="006E4AE2" w:rsidRPr="006E4AE2" w:rsidRDefault="006E4AE2" w:rsidP="006E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szCs w:val="24"/>
              </w:rPr>
            </w:pPr>
            <w:r>
              <w:rPr>
                <w:rFonts w:ascii="Arial" w:hAnsi="Arial"/>
                <w:szCs w:val="24"/>
              </w:rPr>
              <w:t>‍</w:t>
            </w:r>
            <w:r>
              <w:rPr>
                <w:szCs w:val="24"/>
              </w:rPr>
              <w:t>Preauthorization is required.</w:t>
            </w:r>
          </w:p>
        </w:tc>
      </w:tr>
      <w:tr w:rsidR="00CC69B0" w:rsidRPr="00D77B99" w14:paraId="1954AF48" w14:textId="77777777" w:rsidTr="00922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0E4ABC96" w14:textId="77777777" w:rsidR="00CC69B0" w:rsidRPr="00CC69B0" w:rsidRDefault="00CC69B0" w:rsidP="00CC69B0">
            <w:pPr>
              <w:keepNext/>
              <w:keepLines/>
              <w:rPr>
                <w:b/>
                <w:szCs w:val="24"/>
              </w:rPr>
            </w:pPr>
            <w:r w:rsidRPr="00CC69B0">
              <w:rPr>
                <w:b/>
                <w:szCs w:val="24"/>
              </w:rPr>
              <w:lastRenderedPageBreak/>
              <w:t>If you need drugs to treat your illness or condition.</w:t>
            </w:r>
          </w:p>
          <w:p w14:paraId="643183A2" w14:textId="77777777" w:rsidR="00CC69B0" w:rsidRPr="00CC69B0" w:rsidRDefault="00CC69B0" w:rsidP="00CC69B0">
            <w:pPr>
              <w:keepNext/>
              <w:keepLines/>
              <w:rPr>
                <w:b/>
                <w:szCs w:val="24"/>
              </w:rPr>
            </w:pPr>
          </w:p>
          <w:p w14:paraId="5A93C015" w14:textId="328389F4" w:rsidR="00CC69B0" w:rsidRPr="00CC69B0" w:rsidRDefault="00CC69B0" w:rsidP="00CC69B0">
            <w:pPr>
              <w:keepNext/>
              <w:keepLines/>
              <w:rPr>
                <w:szCs w:val="24"/>
              </w:rPr>
            </w:pPr>
            <w:r w:rsidRPr="00CC69B0">
              <w:rPr>
                <w:szCs w:val="24"/>
              </w:rPr>
              <w:t>More information about</w:t>
            </w:r>
            <w:r w:rsidRPr="00CC69B0">
              <w:rPr>
                <w:b/>
                <w:bCs/>
                <w:color w:val="0080BE"/>
                <w:szCs w:val="24"/>
              </w:rPr>
              <w:t xml:space="preserve"> </w:t>
            </w:r>
            <w:r w:rsidRPr="00CC69B0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CC69B0">
              <w:rPr>
                <w:b/>
                <w:bCs/>
                <w:color w:val="0080BE"/>
                <w:szCs w:val="24"/>
              </w:rPr>
              <w:t xml:space="preserve"> </w:t>
            </w:r>
            <w:r w:rsidRPr="00CC69B0">
              <w:rPr>
                <w:szCs w:val="24"/>
              </w:rPr>
              <w:t xml:space="preserve">is available at </w:t>
            </w:r>
            <w:hyperlink r:id="rId14" w:history="1">
              <w:r w:rsidRPr="00CC69B0">
                <w:rPr>
                  <w:rStyle w:val="Hyperlink"/>
                </w:rPr>
                <w:t>www.navitus.com</w:t>
              </w:r>
            </w:hyperlink>
            <w:r w:rsidRPr="00CC69B0">
              <w:rPr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18" w:space="0" w:color="70AFD9"/>
            </w:tcBorders>
            <w:vAlign w:val="top"/>
          </w:tcPr>
          <w:p w14:paraId="713CC47C" w14:textId="08EC8C7F" w:rsidR="00CC69B0" w:rsidRPr="00CC69B0" w:rsidRDefault="00CC69B0" w:rsidP="00CC69B0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Formulary generics and some lower cost brand drugs (Tier 1)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vAlign w:val="top"/>
          </w:tcPr>
          <w:p w14:paraId="4BC32B6E" w14:textId="77777777" w:rsidR="00CC69B0" w:rsidRPr="00706EB9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 xml:space="preserve">10%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1965F028" w14:textId="77777777" w:rsidR="00CC69B0" w:rsidRPr="00706EB9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8202A0A" w14:textId="76BAF629" w:rsidR="00CC69B0" w:rsidRPr="00CC69B0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vAlign w:val="top"/>
          </w:tcPr>
          <w:p w14:paraId="10E6BF1C" w14:textId="77777777" w:rsidR="00CC69B0" w:rsidRPr="00706EB9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 xml:space="preserve">10%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7F3E5C20" w14:textId="77777777" w:rsidR="00CC69B0" w:rsidRPr="00706EB9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6D830D8" w14:textId="1661385B" w:rsidR="00CC69B0" w:rsidRPr="00CC69B0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206D7B8E" w14:textId="77777777" w:rsidR="00CC69B0" w:rsidRPr="00706EB9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Some prescriptions may require prior authorization, step therapy and/or quantity limits.</w:t>
            </w:r>
          </w:p>
          <w:p w14:paraId="2329A9C4" w14:textId="77777777" w:rsidR="00CC69B0" w:rsidRPr="00706EB9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10627A01" w14:textId="26403CAA" w:rsidR="00CC69B0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Member pays applicable copay plus cost difference between brand and generic when member chooses a brand drug when a generic is available. Cost sharing does not apply to deductible and out-of-pocket limit.</w:t>
            </w:r>
          </w:p>
          <w:p w14:paraId="09640407" w14:textId="77777777" w:rsidR="00830358" w:rsidRPr="00A04069" w:rsidRDefault="00830358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4ED69666" w14:textId="7F2E1749" w:rsidR="00CC69B0" w:rsidRPr="00DC53C7" w:rsidRDefault="00830358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30358">
              <w:rPr>
                <w:rStyle w:val="VARIABLE"/>
              </w:rPr>
              <w:t>For pharmacist counseling about prescriptions used to treat chronic conditions, Member may contact Tria Health at 1.888.799.8742.</w:t>
            </w:r>
          </w:p>
        </w:tc>
      </w:tr>
      <w:tr w:rsidR="00CC69B0" w:rsidRPr="00D77B99" w14:paraId="4A59EC44" w14:textId="77777777" w:rsidTr="00922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60D52A08" w14:textId="77777777" w:rsidR="00CC69B0" w:rsidRPr="00F17333" w:rsidRDefault="00CC69B0" w:rsidP="00CC69B0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2790" w:type="dxa"/>
            <w:vAlign w:val="top"/>
          </w:tcPr>
          <w:p w14:paraId="6CBA5CAE" w14:textId="44B9E83E" w:rsidR="00CC69B0" w:rsidRPr="00F17333" w:rsidRDefault="00CC69B0" w:rsidP="00CC69B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Formulary brand drugs and some higher cost generic drugs (Tier 2)</w:t>
            </w:r>
          </w:p>
        </w:tc>
        <w:tc>
          <w:tcPr>
            <w:tcW w:w="2880" w:type="dxa"/>
            <w:vAlign w:val="top"/>
          </w:tcPr>
          <w:p w14:paraId="7D7F8B4D" w14:textId="77777777" w:rsidR="00CC69B0" w:rsidRPr="00706EB9" w:rsidRDefault="00CC69B0" w:rsidP="00586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210FF7F2" w14:textId="77777777" w:rsidR="00CC69B0" w:rsidRPr="00706EB9" w:rsidRDefault="00CC69B0" w:rsidP="00586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BBED9F5" w14:textId="7CA7B2D6" w:rsidR="00CC69B0" w:rsidRPr="00F17333" w:rsidRDefault="00CC69B0" w:rsidP="00586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80" w:type="dxa"/>
            <w:vAlign w:val="top"/>
          </w:tcPr>
          <w:p w14:paraId="2675ECBC" w14:textId="77777777" w:rsidR="00CC69B0" w:rsidRPr="00706EB9" w:rsidRDefault="00CC69B0" w:rsidP="00586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1507B8C6" w14:textId="77777777" w:rsidR="00CC69B0" w:rsidRPr="00706EB9" w:rsidRDefault="00CC69B0" w:rsidP="00586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5AE95380" w14:textId="64483A8D" w:rsidR="00CC69B0" w:rsidRPr="00F17333" w:rsidRDefault="00CC69B0" w:rsidP="00586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33" w:type="dxa"/>
            <w:vMerge/>
          </w:tcPr>
          <w:p w14:paraId="4435430C" w14:textId="77777777" w:rsidR="00CC69B0" w:rsidRPr="00D77B99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CC69B0" w:rsidRPr="00D77B99" w14:paraId="16CFDF86" w14:textId="77777777" w:rsidTr="00B710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6C9BC6C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344E85A1" w14:textId="77777777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Non-preferred brand drugs (Tier 3)</w:t>
            </w:r>
          </w:p>
        </w:tc>
        <w:tc>
          <w:tcPr>
            <w:tcW w:w="2880" w:type="dxa"/>
            <w:vAlign w:val="top"/>
          </w:tcPr>
          <w:p w14:paraId="599534F0" w14:textId="77777777" w:rsidR="00CC69B0" w:rsidRPr="00706EB9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4C1CB926" w14:textId="77777777" w:rsidR="00CC69B0" w:rsidRPr="00706EB9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6010D48A" w14:textId="04F7B81B" w:rsidR="00CC69B0" w:rsidRPr="00F17333" w:rsidRDefault="00CC69B0" w:rsidP="005865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80" w:type="dxa"/>
            <w:vAlign w:val="top"/>
          </w:tcPr>
          <w:p w14:paraId="7E5477E3" w14:textId="77777777" w:rsidR="00CC69B0" w:rsidRPr="00706EB9" w:rsidRDefault="00CC69B0" w:rsidP="00CC69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09882FB6" w14:textId="77777777" w:rsidR="00CC69B0" w:rsidRPr="00706EB9" w:rsidRDefault="00CC69B0" w:rsidP="00CC69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369048D0" w14:textId="489B107D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33" w:type="dxa"/>
            <w:vMerge/>
          </w:tcPr>
          <w:p w14:paraId="58462A41" w14:textId="77777777" w:rsidR="00CC69B0" w:rsidRPr="00D77B99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CC69B0" w:rsidRPr="00D77B99" w14:paraId="21A25116" w14:textId="77777777" w:rsidTr="00B71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FBEDE56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18646E19" w14:textId="77777777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Specialty drugs</w:t>
            </w:r>
            <w:r w:rsidRPr="00F17333">
              <w:rPr>
                <w:szCs w:val="24"/>
              </w:rPr>
              <w:t xml:space="preserve"> (Tier 4)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  <w:vAlign w:val="top"/>
          </w:tcPr>
          <w:p w14:paraId="13932A89" w14:textId="77777777" w:rsidR="00CC69B0" w:rsidRPr="00706EB9" w:rsidRDefault="00CC69B0" w:rsidP="00CC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Refer to cost for</w:t>
            </w:r>
          </w:p>
          <w:p w14:paraId="6A892828" w14:textId="0FD38531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Tier 2 and Tier 3 drugs above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  <w:vAlign w:val="top"/>
          </w:tcPr>
          <w:p w14:paraId="3C823EC0" w14:textId="77777777" w:rsidR="00CC69B0" w:rsidRPr="00706EB9" w:rsidRDefault="00CC69B0" w:rsidP="00CC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Refer to cost for</w:t>
            </w:r>
          </w:p>
          <w:p w14:paraId="41E6A74A" w14:textId="6BAE1B52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Tier 2 and Tier 3 drugs above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48ACA0D1" w14:textId="77777777" w:rsidR="00CC69B0" w:rsidRPr="00D77B99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CC69B0" w:rsidRPr="00D77B99" w14:paraId="71B0166E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4C94C11E" w14:textId="5B1DE4BD" w:rsidR="00CC69B0" w:rsidRPr="00F17333" w:rsidRDefault="00CC69B0" w:rsidP="00CC69B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01C18088" w14:textId="24DD04D9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Facility fee (e.g., ambulatory surgery center)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97A9200" w14:textId="7192BC26" w:rsidR="00CC69B0" w:rsidRPr="00807D2C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B451787" w14:textId="79BEA1A5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44A4647E" w14:textId="6D6FBAF1" w:rsidR="00CC69B0" w:rsidRPr="00545F11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/>
                <w:szCs w:val="24"/>
              </w:rPr>
              <w:t>‍</w:t>
            </w:r>
            <w:r>
              <w:rPr>
                <w:szCs w:val="24"/>
              </w:rPr>
              <w:t>Preauthorization is required.</w:t>
            </w:r>
          </w:p>
        </w:tc>
      </w:tr>
      <w:tr w:rsidR="00CC69B0" w:rsidRPr="00D77B99" w14:paraId="2EF16998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5BF2BAD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01FB4C4A" w14:textId="74660299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EA34336" w14:textId="012C17F4" w:rsidR="00CC69B0" w:rsidRPr="00807D2C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55C1B21" w14:textId="6BC2496D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79899A4D" w14:textId="716061AF" w:rsidR="00CC69B0" w:rsidRPr="00545F11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0AA9" w:rsidRPr="00D77B99" w14:paraId="204217FC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2F7B770E" w14:textId="0A204EC6" w:rsidR="004E0AA9" w:rsidRPr="00F17333" w:rsidRDefault="004E0AA9" w:rsidP="00C94BED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2E932EE7" w14:textId="147AA5D3" w:rsidR="004E0AA9" w:rsidRPr="00F17333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E9BDB12" w14:textId="77777777" w:rsidR="004E0AA9" w:rsidRPr="00950AAB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$150 Copay per visit; 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0EB1F58A" w14:textId="0F908E8C" w:rsidR="004E0AA9" w:rsidRPr="00EF4CAF" w:rsidRDefault="00A0444C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$150 Copay per visit; Deductible Waived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53808004" w14:textId="3994B1AB" w:rsidR="004E0AA9" w:rsidRPr="00950AAB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0AAB">
              <w:rPr>
                <w:rStyle w:val="VARIABLE"/>
              </w:rPr>
              <w:t xml:space="preserve">Copay may be waived if admitted </w:t>
            </w:r>
          </w:p>
        </w:tc>
      </w:tr>
      <w:tr w:rsidR="00CC69B0" w:rsidRPr="00D77B99" w14:paraId="4217F383" w14:textId="77777777" w:rsidTr="00CC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58EC9D1F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08549EBC" w14:textId="75D043DA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2880" w:type="dxa"/>
          </w:tcPr>
          <w:p w14:paraId="01DD3861" w14:textId="566D6C54" w:rsidR="00CC69B0" w:rsidRPr="00950AAB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6D258644" w14:textId="74AED8EE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50DF5B93" w14:textId="0D6BEB5D" w:rsidR="00CC69B0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0AAB">
              <w:rPr>
                <w:rStyle w:val="VARIABLE"/>
              </w:rPr>
              <w:t>$25,000 Maximum benefit per occurrence Ambulance air Out-of-network</w:t>
            </w:r>
            <w:r>
              <w:rPr>
                <w:rStyle w:val="VARIABLE"/>
              </w:rPr>
              <w:t xml:space="preserve">; </w:t>
            </w: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Out-of-network benefits</w:t>
            </w:r>
          </w:p>
        </w:tc>
      </w:tr>
      <w:tr w:rsidR="00CC69B0" w:rsidRPr="00D77B99" w14:paraId="74AEF24E" w14:textId="77777777" w:rsidTr="00CC5F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1EAC4BAB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52DF94C5" w14:textId="5AFF9BBC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111756C4" w14:textId="77777777" w:rsidR="00CC69B0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$75 Copay per </w:t>
            </w:r>
            <w:proofErr w:type="gramStart"/>
            <w:r w:rsidRPr="00F17333">
              <w:rPr>
                <w:szCs w:val="24"/>
              </w:rPr>
              <w:t>visit;</w:t>
            </w:r>
            <w:proofErr w:type="gramEnd"/>
            <w:r w:rsidRPr="00F17333">
              <w:rPr>
                <w:szCs w:val="24"/>
              </w:rPr>
              <w:t xml:space="preserve"> </w:t>
            </w:r>
          </w:p>
          <w:p w14:paraId="1824D941" w14:textId="47684DD5" w:rsidR="00CC69B0" w:rsidRPr="00950AAB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Deductible Waived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51BA9AD5" w14:textId="23AAA3A6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7ED2B677" w14:textId="5AE4E6A6" w:rsidR="00CC69B0" w:rsidRPr="00950AAB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lang w:val="en-GB" w:eastAsia="en-GB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CC69B0" w:rsidRPr="00D77B99" w14:paraId="3597C021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2E4E2A52" w14:textId="70A54F04" w:rsidR="00CC69B0" w:rsidRPr="00F17333" w:rsidRDefault="00CC69B0" w:rsidP="00CC69B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have a hospital stay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75E836B6" w14:textId="77777777" w:rsidR="00CC69B0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14:paraId="07BA5632" w14:textId="00311466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6E8A2F4" w14:textId="0C99F89E" w:rsidR="00CC69B0" w:rsidRPr="0074775A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FABFFCF" w14:textId="75B5718E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448175FA" w14:textId="1CC3D507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6719B7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CC69B0" w:rsidRPr="00D77B99" w14:paraId="56FBA161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36620164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68DC17AB" w14:textId="7B3F3182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B8AB60D" w14:textId="7FEEAE10" w:rsidR="00CC69B0" w:rsidRPr="0074775A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9A2AAC4" w14:textId="62B9AA6D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607DD906" w14:textId="6967CD60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CC69B0" w:rsidRPr="00D77B99" w14:paraId="6B1EB16A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72A2303F" w14:textId="008D7332" w:rsidR="00CC69B0" w:rsidRPr="00F17333" w:rsidRDefault="00CC69B0" w:rsidP="00CC69B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>
              <w:rPr>
                <w:b/>
                <w:szCs w:val="24"/>
              </w:rPr>
              <w:t>services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5321C3F1" w14:textId="00E135BE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0298CCB0" w14:textId="77777777" w:rsidR="00CC69B0" w:rsidRPr="009B113B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$25 Copay per visit; Deductible Waived Office visit; 20% Coinsurance other outpatient services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0CC1B34" w14:textId="40DA1715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613C8DF4" w14:textId="15C76AAC" w:rsidR="00CC69B0" w:rsidRPr="009B113B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</w:t>
            </w:r>
            <w:r>
              <w:rPr>
                <w:szCs w:val="24"/>
              </w:rPr>
              <w:t xml:space="preserve"> for Partial hospitalization</w:t>
            </w:r>
            <w:r w:rsidRPr="00F17333">
              <w:rPr>
                <w:szCs w:val="24"/>
              </w:rPr>
              <w:t xml:space="preserve">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 </w:t>
            </w:r>
            <w:r w:rsidRPr="00B20650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CC69B0" w:rsidRPr="00D77B99" w14:paraId="03F55183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669F8BFC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11CA2F45" w14:textId="6AFB57D4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3B48E5A8" w14:textId="1E7871E7" w:rsidR="00CC69B0" w:rsidRPr="009B113B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EA72A0E" w14:textId="50E6BE9B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5E0514A1" w14:textId="51C4975A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B20650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CC69B0" w:rsidRPr="00D77B99" w14:paraId="27969A17" w14:textId="77777777" w:rsidTr="0082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537DE703" w14:textId="396A4904" w:rsidR="00CC69B0" w:rsidRPr="00F17333" w:rsidRDefault="00CC69B0" w:rsidP="00CC69B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20144352" w14:textId="76C7BB37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28AF554A" w14:textId="77777777" w:rsidR="00CC69B0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 xml:space="preserve">No charge; </w:t>
            </w:r>
          </w:p>
          <w:p w14:paraId="7627EA1B" w14:textId="78567ABB" w:rsidR="00CC69B0" w:rsidRPr="006D123D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D600C1F" w14:textId="16AC58EA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  <w:tcBorders>
              <w:top w:val="single" w:sz="18" w:space="0" w:color="70AFD9"/>
            </w:tcBorders>
          </w:tcPr>
          <w:p w14:paraId="78BDE211" w14:textId="7FBAE110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Cost sharing</w:t>
            </w:r>
            <w:r>
              <w:rPr>
                <w:szCs w:val="24"/>
              </w:rPr>
              <w:t xml:space="preserve"> does not apply to certain </w:t>
            </w:r>
            <w:r w:rsidRPr="00467AFB">
              <w:rPr>
                <w:szCs w:val="24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467AFB">
              <w:rPr>
                <w:szCs w:val="24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467AFB">
              <w:rPr>
                <w:szCs w:val="24"/>
              </w:rPr>
              <w:t xml:space="preserve">copayment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coinsurance</w:t>
            </w:r>
            <w:r>
              <w:rPr>
                <w:szCs w:val="24"/>
              </w:rPr>
              <w:t xml:space="preserve"> may apply. Maternity care may include tests and services described elsewhere in the SBC (i.e. ultrasound).</w:t>
            </w:r>
          </w:p>
        </w:tc>
      </w:tr>
      <w:tr w:rsidR="00CC69B0" w:rsidRPr="00D77B99" w14:paraId="6F6C7197" w14:textId="77777777" w:rsidTr="00827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C38414C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352DBB22" w14:textId="3F592543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2880" w:type="dxa"/>
          </w:tcPr>
          <w:p w14:paraId="0BBB7AC4" w14:textId="4990E366" w:rsidR="00CC69B0" w:rsidRPr="006D123D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After Deductible</w:t>
            </w:r>
          </w:p>
        </w:tc>
        <w:tc>
          <w:tcPr>
            <w:tcW w:w="2880" w:type="dxa"/>
            <w:shd w:val="clear" w:color="auto" w:fill="FFFFFF"/>
          </w:tcPr>
          <w:p w14:paraId="20628A2B" w14:textId="46813FB5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</w:tcPr>
          <w:p w14:paraId="7F5B5F85" w14:textId="77777777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CC69B0" w:rsidRPr="00D77B99" w14:paraId="4CAF285E" w14:textId="77777777" w:rsidTr="0082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2174C5C2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17D37826" w14:textId="13C9DAA8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6547E63B" w14:textId="3408D9B2" w:rsidR="00CC69B0" w:rsidRPr="006D123D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After Deductible 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9DB3405" w14:textId="30C1B7B3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  <w:tcBorders>
              <w:bottom w:val="single" w:sz="18" w:space="0" w:color="70AFD9"/>
            </w:tcBorders>
          </w:tcPr>
          <w:p w14:paraId="39675831" w14:textId="77777777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C69B0" w:rsidRPr="00D77B99" w14:paraId="75E8267E" w14:textId="77777777" w:rsidTr="001E3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4DC96177" w14:textId="10B4C355" w:rsidR="00CC69B0" w:rsidRPr="00F17333" w:rsidRDefault="00CC69B0" w:rsidP="00CC69B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41ACE494" w14:textId="01B65F90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shd w:val="clear" w:color="auto" w:fill="FFFFFF"/>
          </w:tcPr>
          <w:p w14:paraId="5B3E9DA8" w14:textId="75FF0CA5" w:rsidR="00CC69B0" w:rsidRPr="00591406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top w:val="single" w:sz="18" w:space="0" w:color="70AFD9"/>
            </w:tcBorders>
            <w:shd w:val="clear" w:color="auto" w:fill="FFFFFF"/>
          </w:tcPr>
          <w:p w14:paraId="78CFD3F0" w14:textId="727489BE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580293AD" w14:textId="5FB85F42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CC69B0" w:rsidRPr="00D77B99" w14:paraId="2F4BF88A" w14:textId="77777777" w:rsidTr="001E3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4D08E668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697BF3E1" w14:textId="01D43F78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2880" w:type="dxa"/>
          </w:tcPr>
          <w:p w14:paraId="51B20CE6" w14:textId="3DD8335E" w:rsidR="00CC69B0" w:rsidRPr="00591406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074C4BEE" w14:textId="2D2D15F6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 w:val="restart"/>
          </w:tcPr>
          <w:p w14:paraId="1509AD59" w14:textId="115332FD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47BBD">
              <w:rPr>
                <w:szCs w:val="24"/>
              </w:rPr>
              <w:t>If your plan excludes Learning Disabilities, habilitation services for learning disabilities are not covered, please refer to your plan document.</w:t>
            </w:r>
          </w:p>
        </w:tc>
      </w:tr>
      <w:tr w:rsidR="00CC69B0" w:rsidRPr="00D77B99" w14:paraId="5D82A969" w14:textId="77777777" w:rsidTr="00771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2993EB33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2AB2D6D9" w14:textId="18695051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2880" w:type="dxa"/>
          </w:tcPr>
          <w:p w14:paraId="3B2D0AD0" w14:textId="720FA18A" w:rsidR="00CC69B0" w:rsidRPr="00771294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6EE6C530" w14:textId="2BCB2552" w:rsidR="00CC69B0" w:rsidRPr="00771294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  <w:vMerge/>
          </w:tcPr>
          <w:p w14:paraId="2627BCCC" w14:textId="40477B55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CC69B0" w:rsidRPr="00D77B99" w14:paraId="003E58ED" w14:textId="77777777" w:rsidTr="0007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DE2136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65AD0DA0" w14:textId="6C033C98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2880" w:type="dxa"/>
          </w:tcPr>
          <w:p w14:paraId="13FDB442" w14:textId="60306C37" w:rsidR="00CC69B0" w:rsidRPr="00591406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</w:tcPr>
          <w:p w14:paraId="3B621A20" w14:textId="7210D6A2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3D910A21" w14:textId="31BA6ADE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CC69B0" w:rsidRPr="00D77B99" w14:paraId="296528A9" w14:textId="77777777" w:rsidTr="00072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FEABDC9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2B7FAD19" w14:textId="59274E89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2880" w:type="dxa"/>
            <w:shd w:val="clear" w:color="auto" w:fill="FFFFFF"/>
          </w:tcPr>
          <w:p w14:paraId="730F39CD" w14:textId="24B63A27" w:rsidR="00CC69B0" w:rsidRPr="00591406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shd w:val="clear" w:color="auto" w:fill="FFFFFF"/>
          </w:tcPr>
          <w:p w14:paraId="63F01A35" w14:textId="54BFA539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2002FA05" w14:textId="3F7AE7D2" w:rsidR="00CC69B0" w:rsidRDefault="00CC69B0" w:rsidP="00CC69B0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$500 for rentals or $1,500 for purchases</w:t>
            </w:r>
            <w:r>
              <w:rPr>
                <w:szCs w:val="24"/>
              </w:rPr>
              <w:t>.</w:t>
            </w:r>
            <w:r w:rsidRPr="005B5EC2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per occurrence.</w:t>
            </w:r>
          </w:p>
        </w:tc>
      </w:tr>
      <w:tr w:rsidR="00CC69B0" w:rsidRPr="00D77B99" w14:paraId="35C12EAF" w14:textId="77777777" w:rsidTr="0007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15988DD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52E45BA1" w14:textId="377386E5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54CC709" w14:textId="42395FD3" w:rsidR="00CC69B0" w:rsidRPr="00591406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57AD490" w14:textId="4CFB7CD4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33" w:type="dxa"/>
          </w:tcPr>
          <w:p w14:paraId="5439500F" w14:textId="48542EBD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:rsidR="00CC69B0" w:rsidRPr="00D77B99" w14:paraId="01AB8172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18" w:space="0" w:color="70AFD9"/>
            </w:tcBorders>
          </w:tcPr>
          <w:p w14:paraId="706BE285" w14:textId="7A9F3184" w:rsidR="00CC69B0" w:rsidRPr="00F17333" w:rsidRDefault="00CC69B0" w:rsidP="00CC69B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2790" w:type="dxa"/>
            <w:tcBorders>
              <w:top w:val="single" w:sz="18" w:space="0" w:color="70AFD9"/>
            </w:tcBorders>
          </w:tcPr>
          <w:p w14:paraId="75DDF21D" w14:textId="483B80DA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D77D4A4" w14:textId="77777777" w:rsidR="00CC69B0" w:rsidRPr="00815326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E9E2EA8" w14:textId="191F1D63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33" w:type="dxa"/>
            <w:tcBorders>
              <w:top w:val="single" w:sz="18" w:space="0" w:color="70AFD9"/>
            </w:tcBorders>
          </w:tcPr>
          <w:p w14:paraId="7570C110" w14:textId="06B82F5C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CC69B0" w:rsidRPr="00D77B99" w14:paraId="5C5B2922" w14:textId="77777777" w:rsidTr="006E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718465D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</w:tcPr>
          <w:p w14:paraId="39501CCD" w14:textId="3042B387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2880" w:type="dxa"/>
          </w:tcPr>
          <w:p w14:paraId="6CBB7E58" w14:textId="77777777" w:rsidR="00CC69B0" w:rsidRPr="00815326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</w:tcPr>
          <w:p w14:paraId="516DB518" w14:textId="38FA16CC" w:rsidR="00CC69B0" w:rsidRPr="00EF4CAF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33" w:type="dxa"/>
          </w:tcPr>
          <w:p w14:paraId="78C944A3" w14:textId="340D3794" w:rsidR="00CC69B0" w:rsidRPr="00F17333" w:rsidRDefault="00CC69B0" w:rsidP="00CC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CC69B0" w:rsidRPr="00D77B99" w14:paraId="537A1E5B" w14:textId="77777777" w:rsidTr="006E4A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  <w:tcBorders>
              <w:bottom w:val="single" w:sz="18" w:space="0" w:color="70AFD9"/>
            </w:tcBorders>
          </w:tcPr>
          <w:p w14:paraId="5A65132A" w14:textId="77777777" w:rsidR="00CC69B0" w:rsidRPr="00F17333" w:rsidRDefault="00CC69B0" w:rsidP="00CC69B0">
            <w:pPr>
              <w:rPr>
                <w:b/>
                <w:szCs w:val="24"/>
              </w:rPr>
            </w:pPr>
          </w:p>
        </w:tc>
        <w:tc>
          <w:tcPr>
            <w:tcW w:w="2790" w:type="dxa"/>
            <w:tcBorders>
              <w:bottom w:val="single" w:sz="18" w:space="0" w:color="70AFD9"/>
            </w:tcBorders>
          </w:tcPr>
          <w:p w14:paraId="729D116A" w14:textId="062C17DC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CF1458F" w14:textId="77777777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EB20393" w14:textId="1F9A9298" w:rsidR="00CC69B0" w:rsidRPr="00EF4CAF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33" w:type="dxa"/>
            <w:tcBorders>
              <w:bottom w:val="single" w:sz="18" w:space="0" w:color="70AFD9"/>
            </w:tcBorders>
          </w:tcPr>
          <w:p w14:paraId="5E3FDFD0" w14:textId="3F491552" w:rsidR="00CC69B0" w:rsidRPr="00F17333" w:rsidRDefault="00CC69B0" w:rsidP="00CC6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14:paraId="2B6BEE28" w14:textId="77777777" w:rsidR="004868F1" w:rsidRPr="00832793" w:rsidRDefault="004868F1" w:rsidP="004868F1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lastRenderedPageBreak/>
        <w:t>Excluded Services &amp; Other Covered Services:</w:t>
      </w: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5852"/>
        <w:gridCol w:w="4212"/>
      </w:tblGrid>
      <w:tr w:rsidR="00DA309B" w14:paraId="79CCB2BC" w14:textId="77777777" w:rsidTr="00F9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2625236C" w14:textId="49A72B9B" w:rsidR="00DA309B" w:rsidRPr="00ED29E5" w:rsidRDefault="00A601D5" w:rsidP="00DA309B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:rsidR="00DA309B" w14:paraId="29CF0388" w14:textId="77777777" w:rsidTr="000F5046">
        <w:tc>
          <w:tcPr>
            <w:tcW w:w="4673" w:type="dxa"/>
          </w:tcPr>
          <w:p w14:paraId="3CF1C198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5852" w:type="dxa"/>
          </w:tcPr>
          <w:p w14:paraId="219CC242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Non-emergency care when traveling outside the U.S.</w:t>
            </w:r>
          </w:p>
        </w:tc>
        <w:tc>
          <w:tcPr>
            <w:tcW w:w="4212" w:type="dxa"/>
          </w:tcPr>
          <w:p w14:paraId="15D50FE2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:rsidR="00DA309B" w14:paraId="27806F99" w14:textId="77777777" w:rsidTr="000F5046">
        <w:tc>
          <w:tcPr>
            <w:tcW w:w="4673" w:type="dxa"/>
          </w:tcPr>
          <w:p w14:paraId="02E4D9DA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5852" w:type="dxa"/>
          </w:tcPr>
          <w:p w14:paraId="208633E6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Private-duty nursing</w:t>
            </w:r>
          </w:p>
        </w:tc>
        <w:tc>
          <w:tcPr>
            <w:tcW w:w="4212" w:type="dxa"/>
          </w:tcPr>
          <w:p w14:paraId="5781BEC5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:rsidR="00DA309B" w14:paraId="4BCF8468" w14:textId="77777777" w:rsidTr="000F5046">
        <w:tc>
          <w:tcPr>
            <w:tcW w:w="4673" w:type="dxa"/>
          </w:tcPr>
          <w:p w14:paraId="054606DE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852" w:type="dxa"/>
          </w:tcPr>
          <w:p w14:paraId="6A8234A8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eye care (Adult)</w:t>
            </w:r>
          </w:p>
        </w:tc>
        <w:tc>
          <w:tcPr>
            <w:tcW w:w="4212" w:type="dxa"/>
          </w:tcPr>
          <w:p w14:paraId="04B5C191" w14:textId="77777777" w:rsidR="002A2F65" w:rsidRDefault="002A2F65"/>
        </w:tc>
      </w:tr>
    </w:tbl>
    <w:p w14:paraId="05C73540" w14:textId="77777777" w:rsidR="00DA309B" w:rsidRPr="006E4AE2" w:rsidRDefault="00DA309B" w:rsidP="00DA309B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 w:val="6"/>
          <w:szCs w:val="6"/>
        </w:rPr>
      </w:pP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5852"/>
        <w:gridCol w:w="4212"/>
      </w:tblGrid>
      <w:tr w:rsidR="00DA309B" w14:paraId="6A9B8FA6" w14:textId="77777777" w:rsidTr="0008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46529E9C" w14:textId="77777777" w:rsidR="00DA309B" w:rsidRPr="00ED29E5" w:rsidRDefault="00DA309B" w:rsidP="00083274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:rsidR="00DA309B" w14:paraId="0D79C4A0" w14:textId="77777777" w:rsidTr="000F5046">
        <w:tc>
          <w:tcPr>
            <w:tcW w:w="4673" w:type="dxa"/>
          </w:tcPr>
          <w:p w14:paraId="6CE2D05C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5852" w:type="dxa"/>
          </w:tcPr>
          <w:p w14:paraId="54603954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Chiropractic care</w:t>
            </w:r>
          </w:p>
        </w:tc>
        <w:tc>
          <w:tcPr>
            <w:tcW w:w="4212" w:type="dxa"/>
          </w:tcPr>
          <w:p w14:paraId="0A84388A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Infertility treatment</w:t>
            </w:r>
          </w:p>
        </w:tc>
      </w:tr>
      <w:tr w:rsidR="00DA309B" w14:paraId="5198C333" w14:textId="77777777" w:rsidTr="000F5046">
        <w:tc>
          <w:tcPr>
            <w:tcW w:w="4673" w:type="dxa"/>
          </w:tcPr>
          <w:p w14:paraId="7317747A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5852" w:type="dxa"/>
          </w:tcPr>
          <w:p w14:paraId="65DC5F55" w14:textId="1AC9CF29" w:rsidR="00830358" w:rsidRPr="00830358" w:rsidRDefault="00830358" w:rsidP="00830358">
            <w:pPr>
              <w:pStyle w:val="UMRBullet1"/>
              <w:rPr>
                <w:rFonts w:ascii="Arial Narrow" w:eastAsia="Arial Narrow" w:hAnsi="Arial Narrow" w:cs="Arial Narrow"/>
                <w:sz w:val="24"/>
                <w:lang w:val="en-GB" w:eastAsia="en-GB"/>
              </w:rPr>
            </w:pPr>
            <w:r w:rsidRPr="00830358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Tria Health for chronic condition management</w:t>
            </w:r>
          </w:p>
        </w:tc>
        <w:tc>
          <w:tcPr>
            <w:tcW w:w="4212" w:type="dxa"/>
          </w:tcPr>
          <w:p w14:paraId="52423930" w14:textId="74ED969E" w:rsidR="002A2F65" w:rsidRPr="00830358" w:rsidRDefault="00830358" w:rsidP="00830358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Hearing aids</w:t>
            </w:r>
          </w:p>
        </w:tc>
      </w:tr>
    </w:tbl>
    <w:p w14:paraId="06C1E67A" w14:textId="77777777" w:rsidR="004868F1" w:rsidRDefault="004868F1" w:rsidP="004868F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57B389A5" w14:textId="6160F7B5" w:rsidR="004868F1" w:rsidRPr="003D37F4" w:rsidRDefault="004868F1" w:rsidP="00C019D6">
      <w:pPr>
        <w:rPr>
          <w:szCs w:val="24"/>
        </w:rPr>
      </w:pPr>
      <w:r w:rsidRPr="00832793">
        <w:rPr>
          <w:b/>
          <w:bCs/>
          <w:color w:val="0080BE"/>
          <w:szCs w:val="24"/>
        </w:rPr>
        <w:t>Your Rights to Continue Coverage:</w:t>
      </w:r>
      <w:r>
        <w:rPr>
          <w:b/>
          <w:bCs/>
          <w:color w:val="0080BE"/>
          <w:szCs w:val="24"/>
        </w:rPr>
        <w:t xml:space="preserve"> </w:t>
      </w:r>
      <w:r w:rsidR="00C019D6" w:rsidRPr="000B18A2">
        <w:rPr>
          <w:szCs w:val="24"/>
        </w:rPr>
        <w:t>There are agencies that can help if you want to continue your coverage after it ends. The contact information for those agencies is: U.S. Department of Labor</w:t>
      </w:r>
      <w:r w:rsidR="00C019D6">
        <w:rPr>
          <w:szCs w:val="24"/>
        </w:rPr>
        <w:t>'s</w:t>
      </w:r>
      <w:r w:rsidR="00C019D6" w:rsidRPr="000B18A2">
        <w:rPr>
          <w:szCs w:val="24"/>
        </w:rPr>
        <w:t xml:space="preserve"> Employee Benefits Security Administration at 1-866-444-EBSA (3272) or</w:t>
      </w:r>
      <w:r w:rsidR="00C019D6">
        <w:rPr>
          <w:szCs w:val="24"/>
        </w:rPr>
        <w:t xml:space="preserve"> </w:t>
      </w:r>
      <w:hyperlink r:id="rId15" w:history="1">
        <w:r w:rsidR="00C019D6" w:rsidRPr="00471AED">
          <w:rPr>
            <w:rStyle w:val="Hyperlink"/>
            <w:color w:val="0066FF"/>
            <w:szCs w:val="24"/>
          </w:rPr>
          <w:t>www.HealthCare.gov</w:t>
        </w:r>
      </w:hyperlink>
      <w:r w:rsidR="00C019D6">
        <w:rPr>
          <w:szCs w:val="24"/>
        </w:rPr>
        <w:t>.</w:t>
      </w:r>
      <w:r w:rsidR="00C019D6" w:rsidRPr="000B18A2">
        <w:rPr>
          <w:szCs w:val="24"/>
        </w:rPr>
        <w:t xml:space="preserve"> Other coverage options may be available to you too, including buying individual insurance coverage through the Health Insurance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. For more information about the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, visit </w:t>
      </w:r>
      <w:hyperlink r:id="rId16" w:history="1">
        <w:r w:rsidR="00C019D6" w:rsidRPr="0008765A">
          <w:rPr>
            <w:color w:val="0066FF"/>
            <w:szCs w:val="24"/>
            <w:u w:val="single"/>
          </w:rPr>
          <w:t>www.HealthCare.gov</w:t>
        </w:r>
      </w:hyperlink>
      <w:r w:rsidR="00C019D6" w:rsidRPr="000B18A2">
        <w:rPr>
          <w:szCs w:val="24"/>
        </w:rPr>
        <w:t xml:space="preserve"> or call 1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800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318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2596.</w:t>
      </w:r>
    </w:p>
    <w:p w14:paraId="1DB4690B" w14:textId="77777777" w:rsidR="004868F1" w:rsidRPr="003D37F4" w:rsidRDefault="004868F1" w:rsidP="004868F1">
      <w:pPr>
        <w:rPr>
          <w:szCs w:val="24"/>
        </w:rPr>
      </w:pPr>
    </w:p>
    <w:p w14:paraId="53FFD888" w14:textId="2C97668E" w:rsidR="00E127D1" w:rsidRPr="00D4699E" w:rsidRDefault="00E127D1" w:rsidP="00D4699E">
      <w:pPr>
        <w:rPr>
          <w:rFonts w:eastAsia="Calibri"/>
          <w:szCs w:val="24"/>
        </w:rPr>
      </w:pPr>
      <w:r w:rsidRPr="00832793">
        <w:rPr>
          <w:b/>
          <w:bCs/>
          <w:color w:val="0080BE"/>
          <w:szCs w:val="24"/>
        </w:rPr>
        <w:t>Your Grievance and Appeals Rights:</w:t>
      </w:r>
      <w:r>
        <w:rPr>
          <w:b/>
          <w:bCs/>
          <w:color w:val="0080BE"/>
          <w:szCs w:val="24"/>
        </w:rPr>
        <w:t xml:space="preserve"> </w:t>
      </w:r>
      <w:r w:rsidRPr="005B5EC2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5B5EC2">
        <w:rPr>
          <w:rFonts w:eastAsia="Calibri"/>
          <w:color w:val="0066FF"/>
          <w:szCs w:val="24"/>
          <w:u w:val="single"/>
        </w:rPr>
        <w:t>plan</w:t>
      </w:r>
      <w:r w:rsidRPr="005B5EC2">
        <w:rPr>
          <w:rFonts w:eastAsia="Calibri"/>
          <w:color w:val="000000"/>
          <w:szCs w:val="24"/>
        </w:rPr>
        <w:t xml:space="preserve"> for a denial of a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color w:val="000000"/>
          <w:szCs w:val="24"/>
        </w:rPr>
        <w:t xml:space="preserve">. This complaint is called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or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. For more information about your rights, </w:t>
      </w:r>
      <w:r>
        <w:rPr>
          <w:rFonts w:eastAsia="Calibri"/>
          <w:bCs/>
          <w:color w:val="000000"/>
          <w:szCs w:val="24"/>
        </w:rPr>
        <w:t xml:space="preserve">look </w:t>
      </w:r>
      <w:r w:rsidRPr="005B5EC2">
        <w:rPr>
          <w:rFonts w:eastAsia="Calibri"/>
          <w:bCs/>
          <w:color w:val="000000"/>
          <w:szCs w:val="24"/>
        </w:rPr>
        <w:t xml:space="preserve">at the explanation of benefits you will receive for that medical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bCs/>
          <w:color w:val="000000"/>
          <w:szCs w:val="24"/>
        </w:rPr>
        <w:t xml:space="preserve">.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5B5EC2">
        <w:rPr>
          <w:rFonts w:eastAsia="Calibri"/>
          <w:bCs/>
          <w:color w:val="0066FF"/>
          <w:szCs w:val="24"/>
          <w:u w:val="single"/>
        </w:rPr>
        <w:t>claim</w:t>
      </w:r>
      <w:r w:rsidRPr="00796560">
        <w:rPr>
          <w:rFonts w:eastAsia="Calibri"/>
          <w:bCs/>
          <w:color w:val="0066FF"/>
          <w:szCs w:val="24"/>
        </w:rPr>
        <w:t>,</w:t>
      </w:r>
      <w:r w:rsidRPr="005B5EC2">
        <w:rPr>
          <w:rFonts w:eastAsia="Calibri"/>
          <w:bCs/>
          <w:color w:val="000000"/>
          <w:szCs w:val="24"/>
        </w:rPr>
        <w:t xml:space="preserve">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 or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for any reason to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5B5EC2">
        <w:rPr>
          <w:rFonts w:eastAsia="Calibri"/>
          <w:color w:val="000000"/>
          <w:szCs w:val="24"/>
        </w:rPr>
        <w:t xml:space="preserve">: </w:t>
      </w:r>
      <w:r w:rsidRPr="005B5EC2">
        <w:rPr>
          <w:szCs w:val="24"/>
        </w:rPr>
        <w:t>U.S. Department of Labor</w:t>
      </w:r>
      <w:r>
        <w:rPr>
          <w:szCs w:val="24"/>
        </w:rPr>
        <w:t>'s</w:t>
      </w:r>
      <w:r w:rsidRPr="005B5EC2">
        <w:rPr>
          <w:szCs w:val="24"/>
        </w:rPr>
        <w:t xml:space="preserve"> Employee Benefits Security Administration at 1-866-444-EBSA (3272)</w:t>
      </w:r>
      <w:r>
        <w:rPr>
          <w:szCs w:val="24"/>
        </w:rPr>
        <w:t xml:space="preserve"> or </w:t>
      </w:r>
      <w:hyperlink r:id="rId17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 w:rsidRPr="005B5EC2">
        <w:rPr>
          <w:rFonts w:eastAsia="Calibri"/>
          <w:szCs w:val="24"/>
        </w:rPr>
        <w:t xml:space="preserve">. Additionally, a consumer assistance program may help you file your </w:t>
      </w:r>
      <w:r w:rsidRPr="005B5EC2">
        <w:rPr>
          <w:rFonts w:eastAsia="Calibri"/>
          <w:color w:val="0066FF"/>
          <w:szCs w:val="24"/>
          <w:u w:val="single"/>
        </w:rPr>
        <w:t>appeal</w:t>
      </w:r>
      <w:r w:rsidRPr="005B5EC2">
        <w:rPr>
          <w:rFonts w:eastAsia="Calibri"/>
          <w:szCs w:val="24"/>
        </w:rPr>
        <w:t xml:space="preserve">. A list of states with Consumer Assistance Programs is available at </w:t>
      </w:r>
      <w:hyperlink r:id="rId18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>
        <w:rPr>
          <w:color w:val="0066FF"/>
          <w:szCs w:val="24"/>
        </w:rPr>
        <w:t xml:space="preserve"> </w:t>
      </w:r>
      <w:r w:rsidRPr="005B5EC2">
        <w:rPr>
          <w:rFonts w:eastAsia="Calibri"/>
          <w:szCs w:val="24"/>
        </w:rPr>
        <w:t xml:space="preserve">and </w:t>
      </w:r>
      <w:hyperlink r:id="rId19" w:history="1">
        <w:r w:rsidRPr="00B90195">
          <w:rPr>
            <w:rStyle w:val="Hyperlink"/>
            <w:rFonts w:eastAsia="Calibri"/>
            <w:color w:val="0066FF"/>
            <w:szCs w:val="24"/>
          </w:rPr>
          <w:t>http://cciio.cms.gov/programs/consumer/capgrants/index.html</w:t>
        </w:r>
      </w:hyperlink>
      <w:r w:rsidRPr="005B5EC2">
        <w:rPr>
          <w:rFonts w:eastAsia="Calibri"/>
          <w:szCs w:val="24"/>
        </w:rPr>
        <w:t>.</w:t>
      </w:r>
    </w:p>
    <w:p w14:paraId="6CF46414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76B035B8" w14:textId="69D5C090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14:paraId="7D06392B" w14:textId="77777777" w:rsidR="0032586C" w:rsidRPr="006846B4" w:rsidRDefault="0032586C" w:rsidP="0032586C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14:paraId="58483888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5AD9FAE" w14:textId="4DBB2279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14:paraId="50D3D417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14:paraId="35D415D2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2455E964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E4AE2">
        <w:rPr>
          <w:b/>
          <w:bCs/>
          <w:color w:val="0080BE"/>
          <w:szCs w:val="24"/>
        </w:rPr>
        <w:t>Language Access Services:</w:t>
      </w:r>
    </w:p>
    <w:p w14:paraId="0EE75B7A" w14:textId="55341126" w:rsidR="00E127D1" w:rsidRPr="005B5EC2" w:rsidRDefault="00E127D1" w:rsidP="00E127D1">
      <w:pPr>
        <w:pStyle w:val="Default"/>
        <w:rPr>
          <w:rFonts w:ascii="Arial Narrow" w:hAnsi="Arial Narrow" w:cs="Times New Roman"/>
        </w:rPr>
      </w:pPr>
      <w:r w:rsidRPr="005B5EC2">
        <w:rPr>
          <w:rFonts w:ascii="Arial Narrow" w:hAnsi="Arial Narrow" w:cs="Times New Roman"/>
        </w:rPr>
        <w:t>Spanish (</w:t>
      </w:r>
      <w:proofErr w:type="spellStart"/>
      <w:r w:rsidRPr="005B5EC2">
        <w:rPr>
          <w:rFonts w:ascii="Arial Narrow" w:hAnsi="Arial Narrow" w:cs="Times New Roman"/>
        </w:rPr>
        <w:t>Español</w:t>
      </w:r>
      <w:proofErr w:type="spellEnd"/>
      <w:r w:rsidRPr="005B5EC2">
        <w:rPr>
          <w:rFonts w:ascii="Arial Narrow" w:hAnsi="Arial Narrow" w:cs="Times New Roman"/>
        </w:rPr>
        <w:t xml:space="preserve">): Para </w:t>
      </w:r>
      <w:proofErr w:type="spellStart"/>
      <w:r w:rsidRPr="005B5EC2">
        <w:rPr>
          <w:rFonts w:ascii="Arial Narrow" w:hAnsi="Arial Narrow" w:cs="Times New Roman"/>
        </w:rPr>
        <w:t>obtener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asistencia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en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Español</w:t>
      </w:r>
      <w:proofErr w:type="spellEnd"/>
      <w:r w:rsidRPr="005B5EC2">
        <w:rPr>
          <w:rFonts w:ascii="Arial Narrow" w:hAnsi="Arial Narrow" w:cs="Times New Roman"/>
        </w:rPr>
        <w:t xml:space="preserve">, </w:t>
      </w:r>
      <w:proofErr w:type="spellStart"/>
      <w:r w:rsidRPr="005B5EC2">
        <w:rPr>
          <w:rFonts w:ascii="Arial Narrow" w:hAnsi="Arial Narrow" w:cs="Times New Roman"/>
        </w:rPr>
        <w:t>llame</w:t>
      </w:r>
      <w:proofErr w:type="spellEnd"/>
      <w:r w:rsidRPr="005B5EC2">
        <w:rPr>
          <w:rFonts w:ascii="Arial Narrow" w:hAnsi="Arial Narrow" w:cs="Times New Roman"/>
        </w:rPr>
        <w:t xml:space="preserve"> al </w:t>
      </w:r>
      <w:r w:rsidR="00486D0F" w:rsidRPr="00D97F8F">
        <w:rPr>
          <w:rStyle w:val="VARIABLE"/>
        </w:rPr>
        <w:t>1-800-207-3172</w:t>
      </w:r>
      <w:r w:rsidRPr="005B5EC2">
        <w:rPr>
          <w:rFonts w:ascii="Arial Narrow" w:hAnsi="Arial Narrow" w:cs="Times New Roman"/>
        </w:rPr>
        <w:t>.</w:t>
      </w:r>
    </w:p>
    <w:p w14:paraId="4FFF3927" w14:textId="77777777" w:rsidR="004868F1" w:rsidRPr="00A72BCD" w:rsidRDefault="004868F1" w:rsidP="004868F1">
      <w:pPr>
        <w:autoSpaceDE w:val="0"/>
        <w:autoSpaceDN w:val="0"/>
        <w:adjustRightInd w:val="0"/>
        <w:rPr>
          <w:rFonts w:cs="Tahoma"/>
          <w:color w:val="000000"/>
          <w:sz w:val="20"/>
        </w:rPr>
      </w:pPr>
    </w:p>
    <w:p w14:paraId="2E732321" w14:textId="77777777" w:rsidR="00FD065F" w:rsidRPr="00D77B99" w:rsidRDefault="00FD065F" w:rsidP="00FD065F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1774AB" wp14:editId="28E38922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A239" w14:textId="77777777" w:rsidR="00FD065F" w:rsidRPr="00B84ED5" w:rsidRDefault="00FD065F" w:rsidP="00FD065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14:paraId="21DA2705" w14:textId="77777777" w:rsidR="00FD065F" w:rsidRPr="00A40F17" w:rsidRDefault="00FD065F" w:rsidP="00FD065F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.35pt;width:72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" o:allowincell="f">
                <v:path arrowok="t"/>
                <v:textbox>
                  <w:txbxContent>
                    <w:p w14:paraId="0496A239" w14:textId="77777777" w:rsidR="00FD065F" w:rsidRPr="00B84ED5" w:rsidRDefault="00FD065F" w:rsidP="00FD065F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14:paraId="21DA2705" w14:textId="77777777" w:rsidR="00FD065F" w:rsidRPr="00A40F17" w:rsidRDefault="00FD065F" w:rsidP="00FD065F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A812D" w14:textId="77777777" w:rsidR="004868F1" w:rsidRPr="00B0150F" w:rsidRDefault="004868F1" w:rsidP="004868F1">
      <w:pPr>
        <w:tabs>
          <w:tab w:val="left" w:pos="360"/>
          <w:tab w:val="left" w:pos="720"/>
        </w:tabs>
        <w:rPr>
          <w:b/>
          <w:szCs w:val="24"/>
        </w:rPr>
        <w:sectPr w:rsidR="004868F1" w:rsidRPr="00B0150F"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11AED08" w14:textId="71042239" w:rsidR="004868F1" w:rsidRDefault="00E14D04" w:rsidP="004868F1">
      <w:pPr>
        <w:pStyle w:val="Head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14:paraId="3694D2C4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color w:val="0080BE"/>
          <w:szCs w:val="24"/>
        </w:rPr>
      </w:pPr>
      <w:r>
        <w:rPr>
          <w:rFonts w:eastAsia="Segoe U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B1C66A7" wp14:editId="0B9B1C7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4AB8" w14:textId="77777777" w:rsidR="00B22C47" w:rsidRPr="00F37831" w:rsidRDefault="00B22C47" w:rsidP="00B22C4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14:paraId="23195235" w14:textId="77777777" w:rsidR="00B22C47" w:rsidRDefault="00B22C47" w:rsidP="00B22C4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1D737B2C" w14:textId="77777777" w:rsidR="00B22C47" w:rsidRPr="006D3E86" w:rsidRDefault="00B22C47" w:rsidP="00B22C4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6A7" id="_x0000_s1027" type="#_x0000_t202" style="position:absolute;margin-left:-6.15pt;margin-top:11.5pt;width:730.05pt;height:7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" o:allowincell="f" fillcolor="#eff9ff" strokecolor="#70afd9">
                <v:path arrowok="t"/>
                <v:textbox>
                  <w:txbxContent>
                    <w:p w14:paraId="2EA24AB8" w14:textId="77777777" w:rsidR="00B22C47" w:rsidRPr="00F37831" w:rsidRDefault="00B22C47" w:rsidP="00B22C4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14:paraId="23195235" w14:textId="77777777" w:rsidR="00B22C47" w:rsidRDefault="00B22C47" w:rsidP="00B22C4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1D737B2C" w14:textId="77777777" w:rsidR="00B22C47" w:rsidRPr="006D3E86" w:rsidRDefault="00B22C47" w:rsidP="00B22C4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14:paraId="066681D9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9ED39F" wp14:editId="602959EB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F822" w14:textId="77777777" w:rsidR="00B22C47" w:rsidRPr="00654DFD" w:rsidRDefault="00B22C47" w:rsidP="00B22C4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39F" id="Text Box 3" o:spid="_x0000_s1028" type="#_x0000_t202" style="position:absolute;margin-left:43.2pt;margin-top:1.55pt;width:665.75pt;height:7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" o:allowincell="f" filled="f" stroked="f">
                <v:path arrowok="t"/>
                <v:textbox>
                  <w:txbxContent>
                    <w:p w14:paraId="7248F822" w14:textId="77777777" w:rsidR="00B22C47" w:rsidRPr="00654DFD" w:rsidRDefault="00B22C47" w:rsidP="00B22C4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10BD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6944" behindDoc="0" locked="0" layoutInCell="0" allowOverlap="1" wp14:anchorId="2D6B8070" wp14:editId="102B0A07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F143" w14:textId="77777777" w:rsidR="00B22C47" w:rsidRPr="00B5139E" w:rsidRDefault="00B22C47" w:rsidP="00B22C47">
      <w:pPr>
        <w:autoSpaceDE w:val="0"/>
        <w:autoSpaceDN w:val="0"/>
        <w:adjustRightInd w:val="0"/>
        <w:rPr>
          <w:rFonts w:eastAsia="Segoe UI"/>
          <w:b/>
          <w:bCs/>
        </w:rPr>
      </w:pPr>
    </w:p>
    <w:p w14:paraId="5DDA5F92" w14:textId="77777777" w:rsidR="00B22C47" w:rsidRPr="00507A6F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14:paraId="1D9141C7" w14:textId="77777777" w:rsidR="00B22C47" w:rsidRPr="00507A6F" w:rsidRDefault="00B22C47" w:rsidP="00B22C47">
      <w:pPr>
        <w:autoSpaceDE w:val="0"/>
        <w:autoSpaceDN w:val="0"/>
        <w:adjustRightInd w:val="0"/>
        <w:rPr>
          <w:b/>
          <w:szCs w:val="24"/>
        </w:rPr>
      </w:pPr>
    </w:p>
    <w:p w14:paraId="68952BAF" w14:textId="6BEB7F86" w:rsidR="00B22C47" w:rsidRPr="00507A6F" w:rsidRDefault="00F92FD2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2C7101" wp14:editId="39A3D901">
                <wp:simplePos x="0" y="0"/>
                <wp:positionH relativeFrom="column">
                  <wp:posOffset>3070225</wp:posOffset>
                </wp:positionH>
                <wp:positionV relativeFrom="paragraph">
                  <wp:posOffset>222885</wp:posOffset>
                </wp:positionV>
                <wp:extent cx="3016885" cy="658495"/>
                <wp:effectExtent l="0" t="0" r="571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368C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14:paraId="438D7EF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7101" id="Text Box 5" o:spid="_x0000_s1029" type="#_x0000_t202" style="position:absolute;margin-left:241.75pt;margin-top:17.55pt;width:237.55pt;height:51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" o:allowincell="f" fillcolor="#0775a8" strokecolor="#70afd9">
                <v:path arrowok="t"/>
                <v:textbox inset=",2.16pt,,2.16pt">
                  <w:txbxContent>
                    <w:p w14:paraId="7464368C" w14:textId="77777777" w:rsidR="00B22C47" w:rsidRPr="00654DFD" w:rsidRDefault="00B22C47" w:rsidP="00B22C47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14:paraId="438D7EF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9C1D9" w14:textId="77777777" w:rsidR="00B22C47" w:rsidRPr="00B5139E" w:rsidRDefault="00B22C47" w:rsidP="00B22C4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R="00B22C47" w:rsidRPr="00B5139E"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14:paraId="1A4E838B" w14:textId="5DC86585" w:rsidR="00B22C47" w:rsidRPr="00F7581D" w:rsidRDefault="00B22C47" w:rsidP="00B22C47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C8EDEE" wp14:editId="3CBF5A7D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7991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53D785C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DEE" id="Text Box 6" o:spid="_x0000_s1030" type="#_x0000_t202" style="position:absolute;margin-left:-6.15pt;margin-top:3.8pt;width:237.55pt;height:51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g9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" o:allowincell="f" fillcolor="#0775a8" strokecolor="#70afd9">
                <v:path arrowok="t"/>
                <v:textbox inset=",2.16pt,,2.16pt">
                  <w:txbxContent>
                    <w:p w14:paraId="264D7991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053D785C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6C89994" wp14:editId="18B8A500">
                <wp:simplePos x="0" y="0"/>
                <wp:positionH relativeFrom="column">
                  <wp:posOffset>6177915</wp:posOffset>
                </wp:positionH>
                <wp:positionV relativeFrom="paragraph">
                  <wp:posOffset>45720</wp:posOffset>
                </wp:positionV>
                <wp:extent cx="3016885" cy="658495"/>
                <wp:effectExtent l="0" t="0" r="5715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1C3E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2B408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994" id="Text Box 7" o:spid="_x0000_s1031" type="#_x0000_t202" style="position:absolute;margin-left:486.45pt;margin-top:3.6pt;width:237.55pt;height:5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O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" o:allowincell="f" fillcolor="#0775a8" strokecolor="#70afd9">
                <v:path arrowok="t"/>
                <v:textbox inset=",2.16pt,,2.16pt">
                  <w:txbxContent>
                    <w:p w14:paraId="223F1C3E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6A2B408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91994" w14:textId="77777777" w:rsidR="00B22C47" w:rsidRPr="00F7581D" w:rsidRDefault="00B22C47" w:rsidP="00B22C47">
      <w:pPr>
        <w:pStyle w:val="Header"/>
        <w:rPr>
          <w:b/>
          <w:szCs w:val="24"/>
        </w:rPr>
      </w:pPr>
    </w:p>
    <w:p w14:paraId="4AF71171" w14:textId="77777777" w:rsidR="00B22C47" w:rsidRPr="002A3481" w:rsidRDefault="00B22C47" w:rsidP="00B22C47">
      <w:pPr>
        <w:pStyle w:val="Header"/>
        <w:rPr>
          <w:b/>
        </w:rPr>
      </w:pPr>
    </w:p>
    <w:p w14:paraId="0364EB41" w14:textId="77777777" w:rsidR="00B22C47" w:rsidRPr="002A3481" w:rsidRDefault="00B22C47" w:rsidP="00B22C47">
      <w:pPr>
        <w:pStyle w:val="Header"/>
        <w:rPr>
          <w:b/>
        </w:rPr>
      </w:pPr>
    </w:p>
    <w:p w14:paraId="51A1CFDD" w14:textId="77777777" w:rsidR="00B22C47" w:rsidRPr="002D6F05" w:rsidRDefault="00B22C47" w:rsidP="00B22C47">
      <w:pPr>
        <w:pStyle w:val="Header"/>
        <w:rPr>
          <w:szCs w:val="24"/>
        </w:rPr>
      </w:pPr>
    </w:p>
    <w:p w14:paraId="47B0346A" w14:textId="0BE33C3D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</w:t>
      </w:r>
      <w:r w:rsidR="001E0D36">
        <w:rPr>
          <w:rStyle w:val="VARIABLE"/>
          <w:b/>
          <w:bCs/>
        </w:rPr>
        <w:t>1,000</w:t>
      </w:r>
    </w:p>
    <w:p w14:paraId="4DD7AC4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$50</w:t>
      </w:r>
    </w:p>
    <w:p w14:paraId="65F85370" w14:textId="2FBFCE19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(facility)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="00B43B25" w:rsidRPr="009636BB">
        <w:rPr>
          <w:rStyle w:val="VARIABLE"/>
          <w:b/>
          <w:bCs/>
        </w:rPr>
        <w:t>20</w:t>
      </w:r>
      <w:r w:rsidR="00B43B25">
        <w:rPr>
          <w:b/>
          <w:szCs w:val="24"/>
        </w:rPr>
        <w:t>%</w:t>
      </w:r>
    </w:p>
    <w:p w14:paraId="02A5EC5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3269B594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1C67CA08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4BE6886" w14:textId="2EADAE6A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14:paraId="27BCD1C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14:paraId="11C92EE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14:paraId="6E199C80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14:paraId="6795BE01" w14:textId="77777777" w:rsidR="00B22C47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14:paraId="76A70E97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228DD112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01E7BC15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227239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14:paraId="359A6F44" w14:textId="77777777" w:rsidR="00B22C47" w:rsidRPr="006B030E" w:rsidRDefault="00B22C47" w:rsidP="00B22C47">
      <w:pPr>
        <w:rPr>
          <w:sz w:val="20"/>
        </w:rPr>
      </w:pPr>
    </w:p>
    <w:p w14:paraId="00AB4160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6ABA171F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4F79FCB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610A72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015E68B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A13A6" w14:textId="3936AB79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1E0D36">
              <w:rPr>
                <w:rStyle w:val="VARIABLE"/>
              </w:rPr>
              <w:t>1,000</w:t>
            </w:r>
          </w:p>
        </w:tc>
      </w:tr>
      <w:tr w:rsidR="00B22C47" w:rsidRPr="0021437A" w14:paraId="2DCCA1A5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7E8DD68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2A3A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$300</w:t>
            </w:r>
          </w:p>
        </w:tc>
      </w:tr>
      <w:tr w:rsidR="00B22C47" w:rsidRPr="0021437A" w14:paraId="29C97230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1E621355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C55EF" w14:textId="436094ED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</w:t>
            </w:r>
            <w:r w:rsidR="00B43B25">
              <w:rPr>
                <w:rStyle w:val="VARIABLE"/>
              </w:rPr>
              <w:t>,8</w:t>
            </w:r>
            <w:r w:rsidRPr="003C7618">
              <w:rPr>
                <w:rStyle w:val="VARIABLE"/>
              </w:rPr>
              <w:t>00</w:t>
            </w:r>
          </w:p>
        </w:tc>
      </w:tr>
      <w:tr w:rsidR="00B22C47" w:rsidRPr="0021437A" w14:paraId="01811487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02E7667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7F3E48A8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FFD40FB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1B2B10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$70</w:t>
            </w:r>
          </w:p>
        </w:tc>
      </w:tr>
      <w:tr w:rsidR="00B22C47" w:rsidRPr="0021437A" w14:paraId="04FD85D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1376638C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FD5B7EB" w14:textId="3A6E88AE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</w:t>
            </w:r>
            <w:r w:rsidR="001E0D36">
              <w:rPr>
                <w:rStyle w:val="VARIABLE"/>
                <w:b/>
                <w:bCs/>
              </w:rPr>
              <w:t>3</w:t>
            </w:r>
            <w:r w:rsidRPr="003C7618">
              <w:rPr>
                <w:rStyle w:val="VARIABLE"/>
                <w:b/>
                <w:bCs/>
              </w:rPr>
              <w:t>,</w:t>
            </w:r>
            <w:r w:rsidR="001E0D36">
              <w:rPr>
                <w:rStyle w:val="VARIABLE"/>
                <w:b/>
                <w:bCs/>
              </w:rPr>
              <w:t>17</w:t>
            </w:r>
            <w:r w:rsidRPr="003C7618">
              <w:rPr>
                <w:rStyle w:val="VARIABLE"/>
                <w:b/>
                <w:bCs/>
              </w:rPr>
              <w:t>0</w:t>
            </w:r>
          </w:p>
        </w:tc>
      </w:tr>
    </w:tbl>
    <w:p w14:paraId="0D047049" w14:textId="77777777" w:rsidR="00B22C47" w:rsidRPr="007E6C7E" w:rsidRDefault="00B22C47" w:rsidP="00B22C47">
      <w:pPr>
        <w:pStyle w:val="Header"/>
        <w:rPr>
          <w:b/>
          <w:szCs w:val="24"/>
        </w:rPr>
      </w:pPr>
      <w:r w:rsidRPr="00824D27">
        <w:rPr>
          <w:b/>
          <w:sz w:val="16"/>
          <w:szCs w:val="16"/>
        </w:rPr>
        <w:br w:type="column"/>
      </w:r>
    </w:p>
    <w:p w14:paraId="7E545890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04D6876C" w14:textId="77777777" w:rsidR="00B22C47" w:rsidRPr="002A3481" w:rsidRDefault="00B22C47" w:rsidP="00B22C47">
      <w:pPr>
        <w:pStyle w:val="Header"/>
        <w:rPr>
          <w:b/>
        </w:rPr>
      </w:pPr>
    </w:p>
    <w:p w14:paraId="3515FE7F" w14:textId="77777777" w:rsidR="00B22C47" w:rsidRPr="002A3481" w:rsidRDefault="00B22C47" w:rsidP="00B22C47">
      <w:pPr>
        <w:pStyle w:val="Header"/>
        <w:rPr>
          <w:b/>
        </w:rPr>
      </w:pPr>
    </w:p>
    <w:p w14:paraId="27D113D2" w14:textId="77777777" w:rsidR="00B22C47" w:rsidRPr="002D6F05" w:rsidRDefault="00B22C47" w:rsidP="00B22C47">
      <w:pPr>
        <w:pStyle w:val="Header"/>
        <w:rPr>
          <w:szCs w:val="24"/>
        </w:rPr>
      </w:pPr>
    </w:p>
    <w:p w14:paraId="1AF23649" w14:textId="14547CF0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</w:t>
      </w:r>
      <w:r w:rsidR="001E0D36">
        <w:rPr>
          <w:rStyle w:val="VARIABLE"/>
          <w:b/>
          <w:bCs/>
        </w:rPr>
        <w:t>1,000</w:t>
      </w:r>
    </w:p>
    <w:p w14:paraId="59193D9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$50</w:t>
      </w:r>
    </w:p>
    <w:p w14:paraId="385C0CF1" w14:textId="2E8DA6E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="00B43B25" w:rsidRPr="009636BB">
        <w:rPr>
          <w:rStyle w:val="VARIABLE"/>
          <w:b/>
          <w:bCs/>
        </w:rPr>
        <w:t>20</w:t>
      </w:r>
      <w:r w:rsidR="00B43B25">
        <w:rPr>
          <w:b/>
          <w:szCs w:val="24"/>
        </w:rPr>
        <w:t>%</w:t>
      </w:r>
    </w:p>
    <w:p w14:paraId="3E69398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65D1419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27CF261D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0F5E699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14:paraId="049C610A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14:paraId="7E436DDB" w14:textId="77777777" w:rsidR="00B22C47" w:rsidRPr="00C57402" w:rsidRDefault="00B22C47" w:rsidP="00B22C4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14:paraId="7BDA77B8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14:paraId="072FD624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0971E1A1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5136E623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227BC5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14:paraId="70E9868C" w14:textId="77777777" w:rsidR="00B22C47" w:rsidRPr="006B030E" w:rsidRDefault="00B22C47" w:rsidP="00B22C47">
      <w:pPr>
        <w:rPr>
          <w:sz w:val="20"/>
        </w:rPr>
      </w:pPr>
    </w:p>
    <w:p w14:paraId="49DB9761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9265C1C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084B3B15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F1A624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FA882F3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489E1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43D16C1F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238A943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2520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3746D4CB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42DC717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916C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4BAFFD6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35E53A0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05DA779C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F57EFF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15D6B3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$4,300</w:t>
            </w:r>
          </w:p>
        </w:tc>
      </w:tr>
      <w:tr w:rsidR="00B22C47" w:rsidRPr="0021437A" w14:paraId="4496046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292B4256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B9CAC97" w14:textId="77777777" w:rsidR="00B22C47" w:rsidRPr="00D23987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$4,700</w:t>
            </w:r>
          </w:p>
        </w:tc>
      </w:tr>
    </w:tbl>
    <w:p w14:paraId="4A33E4D2" w14:textId="77777777" w:rsidR="00B22C47" w:rsidRPr="007E6C7E" w:rsidRDefault="00B22C47" w:rsidP="00B22C4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14:paraId="43DE1A5D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3AA645F7" w14:textId="77777777" w:rsidR="00B22C47" w:rsidRPr="002A3481" w:rsidRDefault="00B22C47" w:rsidP="00B22C47">
      <w:pPr>
        <w:pStyle w:val="Header"/>
        <w:rPr>
          <w:b/>
        </w:rPr>
      </w:pPr>
    </w:p>
    <w:p w14:paraId="17D6E8F4" w14:textId="77777777" w:rsidR="00B22C47" w:rsidRPr="002A3481" w:rsidRDefault="00B22C47" w:rsidP="00B22C47">
      <w:pPr>
        <w:pStyle w:val="Header"/>
        <w:rPr>
          <w:b/>
        </w:rPr>
      </w:pPr>
    </w:p>
    <w:p w14:paraId="2AB39269" w14:textId="77777777" w:rsidR="00B22C47" w:rsidRPr="002D6F05" w:rsidRDefault="00B22C47" w:rsidP="00B22C47">
      <w:pPr>
        <w:pStyle w:val="Header"/>
        <w:rPr>
          <w:szCs w:val="24"/>
        </w:rPr>
      </w:pPr>
    </w:p>
    <w:p w14:paraId="4604A1B5" w14:textId="7DBCBD7C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</w:t>
      </w:r>
      <w:r w:rsidR="001E0D36">
        <w:rPr>
          <w:rStyle w:val="VARIABLE"/>
          <w:b/>
          <w:bCs/>
        </w:rPr>
        <w:t>1,000</w:t>
      </w:r>
    </w:p>
    <w:p w14:paraId="3ABC753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$50</w:t>
      </w:r>
    </w:p>
    <w:p w14:paraId="6AEAB937" w14:textId="00C38191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(facility)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="00B43B25" w:rsidRPr="009636BB">
        <w:rPr>
          <w:rStyle w:val="VARIABLE"/>
          <w:b/>
          <w:bCs/>
        </w:rPr>
        <w:t>20</w:t>
      </w:r>
      <w:r w:rsidR="00B43B25">
        <w:rPr>
          <w:b/>
          <w:szCs w:val="24"/>
        </w:rPr>
        <w:t>%</w:t>
      </w:r>
    </w:p>
    <w:p w14:paraId="49D0702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5C6CA8F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4F9C0405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2F53154D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14:paraId="2164EA84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14:paraId="37857EA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14:paraId="1757B49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14:paraId="1AB6DC7F" w14:textId="77777777" w:rsidR="00B22C47" w:rsidRPr="00F92FD2" w:rsidRDefault="00B22C47" w:rsidP="00B22C47">
      <w:pPr>
        <w:rPr>
          <w:szCs w:val="24"/>
        </w:rPr>
      </w:pPr>
    </w:p>
    <w:p w14:paraId="7435A1FD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113A8A55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8946D68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1360A6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14:paraId="0DD9A218" w14:textId="77777777" w:rsidR="00B22C47" w:rsidRPr="000D26F2" w:rsidRDefault="00B22C47" w:rsidP="00B22C47">
      <w:pPr>
        <w:rPr>
          <w:sz w:val="20"/>
        </w:rPr>
      </w:pPr>
    </w:p>
    <w:p w14:paraId="712C2F12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E977849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716BE83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7F8C7A0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23EE7A6A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EB95" w14:textId="6E694F7B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1E0D36">
              <w:rPr>
                <w:rStyle w:val="VARIABLE"/>
              </w:rPr>
              <w:t>1,000</w:t>
            </w:r>
          </w:p>
        </w:tc>
      </w:tr>
      <w:tr w:rsidR="00B22C47" w:rsidRPr="0021437A" w14:paraId="300D590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B31987C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3AD54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130D3CC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B1CBEB4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CC77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2DDE51B3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7DE0A31C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340BB44B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4F1027D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CF953AB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$10</w:t>
            </w:r>
          </w:p>
        </w:tc>
      </w:tr>
      <w:tr w:rsidR="00B22C47" w:rsidRPr="0021437A" w14:paraId="6418CE9B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0106DC0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14F23AF" w14:textId="478D2E16" w:rsidR="00B22C47" w:rsidRPr="00C60379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$1,</w:t>
            </w:r>
            <w:r w:rsidR="001E0D36">
              <w:rPr>
                <w:rStyle w:val="VARIABLE"/>
                <w:b/>
                <w:bCs/>
              </w:rPr>
              <w:t>41</w:t>
            </w:r>
            <w:r w:rsidRPr="00C60379">
              <w:rPr>
                <w:rStyle w:val="VARIABLE"/>
                <w:b/>
                <w:bCs/>
              </w:rPr>
              <w:t>0</w:t>
            </w:r>
          </w:p>
        </w:tc>
      </w:tr>
    </w:tbl>
    <w:p w14:paraId="26BB0EF0" w14:textId="77777777" w:rsidR="00B22C47" w:rsidRPr="00A6077E" w:rsidRDefault="00B22C47" w:rsidP="00B22C47">
      <w:pPr>
        <w:pStyle w:val="Header"/>
        <w:rPr>
          <w:rFonts w:ascii="Garamond" w:hAnsi="Garamond"/>
          <w:sz w:val="16"/>
          <w:szCs w:val="16"/>
        </w:rPr>
        <w:sectPr w:rsidR="00B22C47" w:rsidRPr="00A6077E" w:rsidSect="004868F1">
          <w:type w:val="continuous"/>
          <w:pgSz w:w="15840" w:h="12240" w:orient="landscape" w:code="1"/>
          <w:pgMar w:top="1354" w:right="720" w:bottom="360" w:left="720" w:header="360" w:footer="360" w:gutter="0"/>
          <w:cols w:num="3" w:sep="1" w:space="360"/>
          <w:formProt w:val="0"/>
          <w:docGrid w:linePitch="360"/>
        </w:sectPr>
      </w:pPr>
    </w:p>
    <w:p w14:paraId="2EDB8B0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E9EA97E" wp14:editId="27D94554">
                <wp:simplePos x="0" y="0"/>
                <wp:positionH relativeFrom="column">
                  <wp:posOffset>-49530</wp:posOffset>
                </wp:positionH>
                <wp:positionV relativeFrom="paragraph">
                  <wp:posOffset>6985</wp:posOffset>
                </wp:positionV>
                <wp:extent cx="9250045" cy="6597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5004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4CBF" w14:textId="6653863D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D488E">
                                <w:rPr>
                                  <w:rStyle w:val="Hyperlink"/>
                                  <w:color w:val="0066FF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="00415161" w:rsidRPr="007C229D">
                              <w:rPr>
                                <w:rStyle w:val="VARIABLE"/>
                                <w:szCs w:val="24"/>
                              </w:rPr>
                              <w:t>1-800-207-3172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  <w:p w14:paraId="0E8507F7" w14:textId="3BD2E67C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Cs w:val="24"/>
                              </w:rPr>
                              <w:t xml:space="preserve">*Note: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This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has other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for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specific services included in this coverage example.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See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"Are there other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for specific services?”"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>row above.</w:t>
                            </w:r>
                          </w:p>
                          <w:p w14:paraId="208F5AA3" w14:textId="77777777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A97E" id="_x0000_s1032" type="#_x0000_t202" style="position:absolute;margin-left:-3.9pt;margin-top:.55pt;width:728.35pt;height:51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" o:allowincell="f">
                <v:path arrowok="t"/>
                <v:textbox>
                  <w:txbxContent>
                    <w:p w14:paraId="18584CBF" w14:textId="6653863D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D488E">
                          <w:rPr>
                            <w:rStyle w:val="Hyperlink"/>
                            <w:color w:val="0066FF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="00415161" w:rsidRPr="007C229D">
                        <w:rPr>
                          <w:rStyle w:val="VARIABLE"/>
                          <w:szCs w:val="24"/>
                        </w:rPr>
                        <w:t>1-800-207-3172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  <w:p w14:paraId="0E8507F7" w14:textId="3BD2E67C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>
                        <w:rPr>
                          <w:spacing w:val="-1"/>
                          <w:szCs w:val="24"/>
                        </w:rPr>
                        <w:t xml:space="preserve">*Note: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This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has other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Cs w:val="24"/>
                        </w:rPr>
                        <w:t xml:space="preserve">for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specific services included in this coverage example. </w:t>
                      </w:r>
                      <w:r>
                        <w:rPr>
                          <w:spacing w:val="-1"/>
                          <w:szCs w:val="24"/>
                        </w:rPr>
                        <w:t xml:space="preserve">See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"Are there other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for specific services?”" </w:t>
                      </w:r>
                      <w:r>
                        <w:rPr>
                          <w:spacing w:val="-1"/>
                          <w:szCs w:val="24"/>
                        </w:rPr>
                        <w:t>row above.</w:t>
                      </w:r>
                    </w:p>
                    <w:p w14:paraId="208F5AA3" w14:textId="77777777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151E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</w:p>
    <w:p w14:paraId="2450F540" w14:textId="77777777" w:rsidR="00B22C47" w:rsidRDefault="00B22C47" w:rsidP="00B22C47">
      <w:pPr>
        <w:pStyle w:val="Header"/>
        <w:rPr>
          <w:rFonts w:ascii="Garamond" w:hAnsi="Garamond"/>
          <w:szCs w:val="24"/>
        </w:rPr>
        <w:sectPr w:rsidR="00B22C47"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14:paraId="73773E82" w14:textId="77777777" w:rsidR="009F1AC7" w:rsidRDefault="009F1AC7" w:rsidP="00E47647">
      <w:pPr>
        <w:spacing w:line="240" w:lineRule="exact"/>
      </w:pPr>
    </w:p>
    <w:sectPr w:rsidR="009F1AC7"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1959" w14:textId="77777777" w:rsidR="00861128" w:rsidRDefault="00861128">
      <w:r>
        <w:separator/>
      </w:r>
    </w:p>
  </w:endnote>
  <w:endnote w:type="continuationSeparator" w:id="0">
    <w:p w14:paraId="1B4ABADC" w14:textId="77777777" w:rsidR="00861128" w:rsidRDefault="008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C96F" w14:textId="77777777" w:rsidR="004868F1" w:rsidRPr="00194D17" w:rsidRDefault="004868F1" w:rsidP="004868F1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DA4" w14:textId="77777777" w:rsidR="004868F1" w:rsidRPr="00194D17" w:rsidRDefault="004868F1" w:rsidP="004868F1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5AB" w14:textId="77777777" w:rsidR="00B22C47" w:rsidRPr="00633561" w:rsidRDefault="00B22C47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F51C9F">
      <w:rPr>
        <w:b/>
        <w:color w:val="0775A8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052F" w14:textId="77777777" w:rsidR="004868F1" w:rsidRPr="00633561" w:rsidRDefault="004868F1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E59F" w14:textId="77777777" w:rsidR="00861128" w:rsidRDefault="00861128">
      <w:r>
        <w:separator/>
      </w:r>
    </w:p>
  </w:footnote>
  <w:footnote w:type="continuationSeparator" w:id="0">
    <w:p w14:paraId="1FF7FFC7" w14:textId="77777777" w:rsidR="00861128" w:rsidRDefault="0086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B30" w14:textId="124AAD3F" w:rsidR="004868F1" w:rsidRPr="00C43E7F" w:rsidRDefault="004868F1" w:rsidP="004868F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="00B84636" w:rsidRPr="00C43E7F">
      <w:rPr>
        <w:szCs w:val="28"/>
      </w:rPr>
      <w:t xml:space="preserve">What this Plan Covers &amp; What </w:t>
    </w:r>
    <w:r w:rsidR="00B84636">
      <w:rPr>
        <w:szCs w:val="28"/>
      </w:rPr>
      <w:t xml:space="preserve">You Pay For Covered </w:t>
    </w:r>
    <w:proofErr w:type="gramStart"/>
    <w:r w:rsidR="00B84636">
      <w:rPr>
        <w:szCs w:val="28"/>
      </w:rPr>
      <w:t xml:space="preserve">Services  </w:t>
    </w:r>
    <w:r w:rsidR="00663086">
      <w:rPr>
        <w:b/>
        <w:color w:val="0775A8"/>
        <w:szCs w:val="24"/>
      </w:rPr>
      <w:tab/>
    </w:r>
    <w:proofErr w:type="gramEnd"/>
    <w:r w:rsidRPr="00C43E7F">
      <w:rPr>
        <w:b/>
        <w:color w:val="0775A8"/>
        <w:szCs w:val="24"/>
      </w:rPr>
      <w:t xml:space="preserve">Coverage Period: </w:t>
    </w:r>
    <w:r w:rsidR="006F2376" w:rsidRPr="00CD7259">
      <w:rPr>
        <w:rStyle w:val="HEADERSTARTDT"/>
      </w:rPr>
      <w:t>01/01/202</w:t>
    </w:r>
    <w:r w:rsidR="008B506A">
      <w:rPr>
        <w:rStyle w:val="HEADERSTARTDT"/>
      </w:rPr>
      <w:t>3</w:t>
    </w:r>
    <w:r w:rsidRPr="00C43E7F">
      <w:rPr>
        <w:b/>
        <w:color w:val="0775A8"/>
        <w:szCs w:val="24"/>
      </w:rPr>
      <w:t xml:space="preserve"> – </w:t>
    </w:r>
    <w:r w:rsidR="006F2376" w:rsidRPr="00CD7259">
      <w:rPr>
        <w:rStyle w:val="HEADERENDDT"/>
      </w:rPr>
      <w:t>12/31/202</w:t>
    </w:r>
    <w:r w:rsidR="008B506A">
      <w:rPr>
        <w:rStyle w:val="HEADERENDDT"/>
      </w:rPr>
      <w:t>3</w:t>
    </w:r>
  </w:p>
  <w:p w14:paraId="564F74D9" w14:textId="08A95789" w:rsidR="004868F1" w:rsidRPr="00C43E7F" w:rsidRDefault="00CC69B0" w:rsidP="004868F1">
    <w:pPr>
      <w:tabs>
        <w:tab w:val="right" w:pos="14400"/>
      </w:tabs>
      <w:jc w:val="center"/>
      <w:rPr>
        <w:szCs w:val="24"/>
      </w:rPr>
    </w:pPr>
    <w:r w:rsidRPr="00C43E7F">
      <w:rPr>
        <w:b/>
        <w:color w:val="0775A8"/>
        <w:sz w:val="32"/>
        <w:szCs w:val="32"/>
      </w:rPr>
      <w:t>MARQUETTE UNIVERSITY</w:t>
    </w:r>
    <w:r>
      <w:rPr>
        <w:b/>
        <w:color w:val="0775A8"/>
        <w:sz w:val="32"/>
        <w:szCs w:val="32"/>
      </w:rPr>
      <w:t xml:space="preserve"> CPHP</w:t>
    </w:r>
    <w:r w:rsidR="004868F1" w:rsidRPr="00C43E7F">
      <w:rPr>
        <w:b/>
        <w:szCs w:val="24"/>
      </w:rPr>
      <w:tab/>
      <w:t>Coverage for:</w:t>
    </w:r>
    <w:r w:rsidR="004868F1" w:rsidRPr="00C43E7F">
      <w:rPr>
        <w:szCs w:val="24"/>
      </w:rPr>
      <w:t xml:space="preserve"> </w:t>
    </w:r>
    <w:r w:rsidR="006F2376" w:rsidRPr="00EE6D17">
      <w:rPr>
        <w:rStyle w:val="HEADERWHOISCOV"/>
      </w:rPr>
      <w:t>Individual + Family</w:t>
    </w:r>
    <w:r w:rsidR="004868F1" w:rsidRPr="00C43E7F">
      <w:rPr>
        <w:szCs w:val="24"/>
      </w:rPr>
      <w:t xml:space="preserve"> </w:t>
    </w:r>
    <w:r w:rsidR="004868F1" w:rsidRPr="00C43E7F">
      <w:rPr>
        <w:b/>
        <w:color w:val="0775A8"/>
        <w:szCs w:val="24"/>
      </w:rPr>
      <w:t xml:space="preserve">| </w:t>
    </w:r>
    <w:r w:rsidR="004868F1" w:rsidRPr="00C43E7F">
      <w:rPr>
        <w:b/>
        <w:szCs w:val="24"/>
      </w:rPr>
      <w:t>Plan Type</w:t>
    </w:r>
    <w:r w:rsidR="004868F1" w:rsidRPr="00C43E7F">
      <w:rPr>
        <w:b/>
        <w:color w:val="000000"/>
        <w:szCs w:val="24"/>
      </w:rPr>
      <w:t>:</w:t>
    </w:r>
    <w:r w:rsidR="004868F1" w:rsidRPr="00C43E7F">
      <w:rPr>
        <w:szCs w:val="24"/>
      </w:rPr>
      <w:t xml:space="preserve"> </w:t>
    </w:r>
    <w:r w:rsidR="006F2376" w:rsidRPr="00EE6D17">
      <w:rPr>
        <w:rStyle w:val="HEADERPLANTYPE"/>
      </w:rPr>
      <w:t>PPO</w:t>
    </w:r>
  </w:p>
  <w:p w14:paraId="41429375" w14:textId="77777777" w:rsidR="004868F1" w:rsidRPr="00501D81" w:rsidRDefault="00BE0D38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B7B8A5" wp14:editId="603385A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F9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.0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7pIEwIAABEEAAAOAAAAZHJzL2Uyb0RvYy54bWysU02P2jAQvVfqf7B8LwkgWIgIq4otvWxb JFr1bGyHWHU81tgQ+Pcdm4/udm9VE8nyeMZv3psZLx5PnWVHjcGAq/lwUHKmnQRl3L7mP76vP8w4 C1E4JSw4XfOzDvxx+f7doveVHkELVmlkBOJC1fuatzH6qiiCbHUnwgC8duRsADsRycR9oVD0hN7Z YlSW06IHVB5B6hDo9Oni5MuM3zRaxm9NE3RktubELeYV87pLa7FciGqPwrdGXmmIf2DRCeMo6R3q SUTBDmjeQHVGIgRo4kBCV0DTGKmzBlIzLP9Ss22F11kLFSf4e5nC/4OVX48bZEZR76g8TnTUo4+H CDk1m6T69D5UFLZyG0wK5clt/TPIX4F8xStnMoInvF3/BRQhCULKZTk12KXLJJidcvXP9+rrU2SS DufjyXxeEgtJvuk45y5EdbvqMcTPGjqWNjUPEYXZt3EFzlGXAYc5kTg+h5iIiep2IeV1sDbW5mZb x/qaj2dDSpVcAaxRyZsN3O9WFtlR0LysR+lPJSC0V2EIB6cyWquF+nTdR2HsZU/x1iU8nUeQKCUD DlHjtlU9UyZJGM3Gc3oeytA8jmfltJw/cCbsnh6SjMgZQvxpYptbkar1huConMymDxfd1rfiQntS 0ndjfdGTFdzTZ+sFs9zE1LdLr3egzhtMqlM/ae5y/PWNpMF+aeeoPy95+RsAAP//AwBQSwMEFAAG AAgAAAAhAFOahAndAAAABgEAAA8AAABkcnMvZG93bnJldi54bWxMjk1PwzAQRO9I/Adrkbi1DiH9 UMimQpU4lAOohUO5OfGSRMTryHbbwK/HOcFx9EYzr9iMphdncr6zjHA3T0AQ11Z33CC8vz3N1iB8 UKxVb5kQvsnDpry+KlSu7YX3dD6ERsQR9rlCaEMYcil93ZJRfm4H4sg+rTMqxOgaqZ26xHHTyzRJ ltKojuNDqwbatlR/HU4GoTpunX7er16Pi5Vdf/w0u+xlNyDe3oyPDyACjeGvDJN+VIcyOlX2xNqL HmGWJlmsTkBMOFvcL0FUCCnIspD/9ctfAAAA//8DAFBLAQItABQABgAIAAAAIQC2gziS/gAAAOEB AAATAAAAAAAAAAAAAAAAAAAAAABbQ29udGVudF9UeXBlc10ueG1sUEsBAi0AFAAGAAgAAAAhADj9 If/WAAAAlAEAAAsAAAAAAAAAAAAAAAAALwEAAF9yZWxzLy5yZWxzUEsBAi0AFAAGAAgAAAAhAFZr ukgTAgAAEQQAAA4AAAAAAAAAAAAAAAAALgIAAGRycy9lMm9Eb2MueG1sUEsBAi0AFAAGAAgAAAAh AFOahAndAAAABgEAAA8AAAAAAAAAAAAAAAAAbQQAAGRycy9kb3ducmV2LnhtbFBLBQYAAAAABAAE APMAAAB3BQAAAAA= " o:allowincell="f" strokecolor="#f2f2f2" strokeweight="3pt">
              <v:shadow on="t" color="#205867" opacity=".5" offset="1pt"/>
              <o:lock v:ext="edit" shapetype="f"/>
            </v:shape>
          </w:pict>
        </mc:Fallback>
      </mc:AlternateContent>
    </w:r>
    <w:r w:rsidR="004868F1"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A3C6" w14:textId="77777777" w:rsidR="004868F1" w:rsidRPr="00501D81" w:rsidRDefault="004868F1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 w:tplc="D228C18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BB8ED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plc="5E820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72C1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94E77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plc="5B5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60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D2B35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plc="53FC68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 w:tplc="C7409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F470F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plc="6D4C6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A9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49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plc="6826E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A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6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plc="9998C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 w:tplc="7332A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738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2524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0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0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DD48C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A0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22F2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 w:tplc="026A1C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BAD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FDA66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7D66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C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96CA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 w:tplc="E0FA820C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 w:tplc="E780BA6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9A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9222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B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FC98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A266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 w:tplc="7332A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 w:tplc="D28AA8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E82C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plc="F95CEB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07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9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plc="BAAE4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5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88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plc="BE1E0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 w:tplc="5638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9FC2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plc="92A08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0C0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9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plc="FD9A8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ED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D86F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plc="02EED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18"/>
  </w:num>
  <w:num w:numId="5">
    <w:abstractNumId w:val="12"/>
  </w:num>
  <w:num w:numId="6">
    <w:abstractNumId w:val="26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9"/>
  </w:num>
  <w:num w:numId="10">
    <w:abstractNumId w:val="21"/>
  </w:num>
  <w:num w:numId="11">
    <w:abstractNumId w:val="20"/>
  </w:num>
  <w:num w:numId="12">
    <w:abstractNumId w:val="27"/>
  </w:num>
  <w:num w:numId="13">
    <w:abstractNumId w:val="15"/>
  </w:num>
  <w:num w:numId="14">
    <w:abstractNumId w:val="23"/>
  </w:num>
  <w:num w:numId="15">
    <w:abstractNumId w:val="31"/>
  </w:num>
  <w:num w:numId="16">
    <w:abstractNumId w:val="19"/>
  </w:num>
  <w:num w:numId="17">
    <w:abstractNumId w:val="7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25"/>
  </w:num>
  <w:num w:numId="27">
    <w:abstractNumId w:val="11"/>
  </w:num>
  <w:num w:numId="28">
    <w:abstractNumId w:val="24"/>
  </w:num>
  <w:num w:numId="29">
    <w:abstractNumId w:val="10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29"/>
  </w:num>
  <w:num w:numId="35">
    <w:abstractNumId w:val="22"/>
  </w:num>
  <w:num w:numId="36">
    <w:abstractNumId w:val="2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_x000d__x000a_Start Section generate:  IStreamDM:Production Environment\SBC_2017_eff_April1\SBC\SBC.CMS_x000d__x000a_Start Section generate:  IStreamDM:Production Environment\SBC_2017_eff_April1\SBC_Initialize_Variables.cds_x000d__x000a_Section generate completed._x000d__x000a_Start Section generate:  IStreamDM:Production Environment\SBC_2017_eff_April1\SBC_Get_Data.cds_x000d__x000a_Section generate completed._x000d__x000a_Start Section generate:  IStreamDM:Production Environment\SBC_2017_eff_April1\SBC_Format_Variables.cds_x000d__x000a_Start Section generate:  Calligo:Production Environment\SBC_2017_eff_April1\Summary_of_Coverage_Section.cds_x000d__x000a_Section generate completed._x000d__x000a_Start Section generate:  Calligo:Production Environment\SBC_2017_eff_April1\Coverage_Examples_section.cds_x000d__x000a_Section generate completed._x000d__x000a_Section generate completed._x000d__x000a_Section generate completed._x000d__x000a_Conversion completed._x000d__x000a_Complete generation at 11:02:31 AM on Monday, January 13, 2020_x000d__x000a_"/>
    <w:docVar w:name="INS-MetaData" w:val="﻿&lt;?xml version=&quot;1.0&quot; encoding=&quot;UTF-16&quot;?&gt;_x000d__x000a_&lt;!DOCTYPE Metadata [_x000d__x000a_  &lt;!ELEMENT value (#PCDATA)&gt;_x000d__x000a_  &lt;!ATTLIST value type (text | date | integer | boolean | double) 'text' _x000d__x000a_                  decimalPlaces CDATA #IMPLIED &gt;_x000d__x000a_  &lt;!ELEMENT name (#PCDATA)&gt;_x000d__x000a_  &lt;!ELEMENT item (name, (value | array))&gt;_x000d__x000a_  &lt;!ELEMENT array (value*)&gt;_x000d__x000a_  &lt;!ELEMENT set (name, item*)&gt;_x000d__x000a_  &lt;!ELEMENT category (name, (item | set)+)&gt;_x000d__x000a_  &lt;!ELEMENT metadata (item | set | category)*&gt;_x000d__x000a_]&gt;_x000d__x000a_&lt;metadata&gt;_x000d__x000a__x0009_&lt;category&gt;_x000d__x000a__x0009__x0009_&lt;name&gt;&lt;/name&gt;_x000d__x000a__x0009__x0009_&lt;item&gt;&lt;name&gt;$PolicyNumber&lt;/name&gt;&lt;value type=&quot;text&quot;&gt;&quot;767000413220&quot;&lt;/value&gt;&lt;/item&gt;&lt;/category&gt;_x000d__x000a__x0009_&lt;set&gt;_x000d__x000a__x0009__x0009_&lt;name&gt;doc_properties&lt;/name&gt;_x000d__x000a__x0009__x0009_&lt;item&gt;_x000d__x000a__x0009__x0009__x0009_&lt;name&gt;DocumentIdentifier&lt;/name&gt;_x000d__x000a__x0009__x0009__x0009_&lt;value type=&quot;integer&quot;&gt;737168&lt;/value&gt;_x000d__x000a__x0009__x0009_&lt;/item&gt;_x000d_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_x000d_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_x000d__x000a_"/>
    <w:docVar w:name="INS-TagInfo" w:val="\_x0000__x0000__x0000__x0002__x0000__x0000__x0000__x0000__x0000__x0000__x0000__xffff__xffff__x0000__x0000_$_x0000_IStream Customizer_x0010__x0000_Reserved"/>
    <w:docVar w:name="INS-TagPool" w:val=" "/>
  </w:docVars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61493"/>
    <w:rsid w:val="00064FAB"/>
    <w:rsid w:val="000670C9"/>
    <w:rsid w:val="00071440"/>
    <w:rsid w:val="0007274D"/>
    <w:rsid w:val="000732FF"/>
    <w:rsid w:val="0008765A"/>
    <w:rsid w:val="00097E68"/>
    <w:rsid w:val="000A4F3C"/>
    <w:rsid w:val="000C2291"/>
    <w:rsid w:val="000D26F2"/>
    <w:rsid w:val="000D283C"/>
    <w:rsid w:val="000F5046"/>
    <w:rsid w:val="000F5625"/>
    <w:rsid w:val="000F5C6F"/>
    <w:rsid w:val="00105514"/>
    <w:rsid w:val="00106478"/>
    <w:rsid w:val="00120AED"/>
    <w:rsid w:val="00125C80"/>
    <w:rsid w:val="00126E62"/>
    <w:rsid w:val="00136797"/>
    <w:rsid w:val="001469DE"/>
    <w:rsid w:val="00150EDC"/>
    <w:rsid w:val="00161C8E"/>
    <w:rsid w:val="0016436E"/>
    <w:rsid w:val="001671A1"/>
    <w:rsid w:val="00192EC0"/>
    <w:rsid w:val="0019349E"/>
    <w:rsid w:val="00194D8A"/>
    <w:rsid w:val="001A1F9A"/>
    <w:rsid w:val="001A65C8"/>
    <w:rsid w:val="001A735D"/>
    <w:rsid w:val="001B0F83"/>
    <w:rsid w:val="001B4FDE"/>
    <w:rsid w:val="001B5BAA"/>
    <w:rsid w:val="001C47F6"/>
    <w:rsid w:val="001D05A0"/>
    <w:rsid w:val="001D3DED"/>
    <w:rsid w:val="001E0D36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7156"/>
    <w:rsid w:val="002244C7"/>
    <w:rsid w:val="0023049C"/>
    <w:rsid w:val="0023190A"/>
    <w:rsid w:val="00231D86"/>
    <w:rsid w:val="002366E9"/>
    <w:rsid w:val="00241EAB"/>
    <w:rsid w:val="0024755A"/>
    <w:rsid w:val="002540E5"/>
    <w:rsid w:val="00262452"/>
    <w:rsid w:val="00263268"/>
    <w:rsid w:val="00264CC3"/>
    <w:rsid w:val="00266F0E"/>
    <w:rsid w:val="0027088E"/>
    <w:rsid w:val="00280105"/>
    <w:rsid w:val="002842AE"/>
    <w:rsid w:val="00290829"/>
    <w:rsid w:val="0029778D"/>
    <w:rsid w:val="002A00D8"/>
    <w:rsid w:val="002A23A1"/>
    <w:rsid w:val="002A2F65"/>
    <w:rsid w:val="002A31F1"/>
    <w:rsid w:val="002B50FF"/>
    <w:rsid w:val="002B72C9"/>
    <w:rsid w:val="002C2ED5"/>
    <w:rsid w:val="002C3F14"/>
    <w:rsid w:val="002C5169"/>
    <w:rsid w:val="002C67A7"/>
    <w:rsid w:val="002D62EC"/>
    <w:rsid w:val="002E7431"/>
    <w:rsid w:val="002F0DDC"/>
    <w:rsid w:val="002F26F6"/>
    <w:rsid w:val="0030518A"/>
    <w:rsid w:val="00307033"/>
    <w:rsid w:val="00316EF2"/>
    <w:rsid w:val="003217E2"/>
    <w:rsid w:val="0032229B"/>
    <w:rsid w:val="003231C5"/>
    <w:rsid w:val="00324317"/>
    <w:rsid w:val="0032586C"/>
    <w:rsid w:val="00331CD6"/>
    <w:rsid w:val="0033285D"/>
    <w:rsid w:val="00353E61"/>
    <w:rsid w:val="003616CA"/>
    <w:rsid w:val="003626B4"/>
    <w:rsid w:val="00366EAD"/>
    <w:rsid w:val="00391733"/>
    <w:rsid w:val="003A30CF"/>
    <w:rsid w:val="003A7AF4"/>
    <w:rsid w:val="003D0173"/>
    <w:rsid w:val="003D3F12"/>
    <w:rsid w:val="003D49B5"/>
    <w:rsid w:val="003E2D85"/>
    <w:rsid w:val="003E7180"/>
    <w:rsid w:val="003E7727"/>
    <w:rsid w:val="003E7F1F"/>
    <w:rsid w:val="003F5CDC"/>
    <w:rsid w:val="003F609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6326A"/>
    <w:rsid w:val="00485329"/>
    <w:rsid w:val="004868F1"/>
    <w:rsid w:val="00486D0F"/>
    <w:rsid w:val="0049037C"/>
    <w:rsid w:val="004948F9"/>
    <w:rsid w:val="004B2D4A"/>
    <w:rsid w:val="004B2E13"/>
    <w:rsid w:val="004C6AE9"/>
    <w:rsid w:val="004E0AA9"/>
    <w:rsid w:val="004E14CB"/>
    <w:rsid w:val="004F034A"/>
    <w:rsid w:val="004F0626"/>
    <w:rsid w:val="004F0EB8"/>
    <w:rsid w:val="004F31DC"/>
    <w:rsid w:val="00504F8E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5F11"/>
    <w:rsid w:val="00547298"/>
    <w:rsid w:val="00551034"/>
    <w:rsid w:val="00571652"/>
    <w:rsid w:val="00582724"/>
    <w:rsid w:val="005834D1"/>
    <w:rsid w:val="005865A3"/>
    <w:rsid w:val="00591406"/>
    <w:rsid w:val="005A7793"/>
    <w:rsid w:val="005B0DDE"/>
    <w:rsid w:val="005B1DD4"/>
    <w:rsid w:val="005B3C57"/>
    <w:rsid w:val="005C1E04"/>
    <w:rsid w:val="005C3151"/>
    <w:rsid w:val="005D74BF"/>
    <w:rsid w:val="005E26ED"/>
    <w:rsid w:val="005E4316"/>
    <w:rsid w:val="005F2111"/>
    <w:rsid w:val="005F683A"/>
    <w:rsid w:val="0061586A"/>
    <w:rsid w:val="00617FEC"/>
    <w:rsid w:val="006259D8"/>
    <w:rsid w:val="006370B4"/>
    <w:rsid w:val="00642030"/>
    <w:rsid w:val="006421D7"/>
    <w:rsid w:val="006424D3"/>
    <w:rsid w:val="00646121"/>
    <w:rsid w:val="006512C3"/>
    <w:rsid w:val="00663086"/>
    <w:rsid w:val="006719B7"/>
    <w:rsid w:val="00675DBD"/>
    <w:rsid w:val="0069001C"/>
    <w:rsid w:val="00691E0F"/>
    <w:rsid w:val="006A4CE9"/>
    <w:rsid w:val="006B030E"/>
    <w:rsid w:val="006B609A"/>
    <w:rsid w:val="006C6768"/>
    <w:rsid w:val="006D123D"/>
    <w:rsid w:val="006D3DC2"/>
    <w:rsid w:val="006E3AF2"/>
    <w:rsid w:val="006E4AE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1294"/>
    <w:rsid w:val="007779AF"/>
    <w:rsid w:val="007A1158"/>
    <w:rsid w:val="007A4DD8"/>
    <w:rsid w:val="007B5888"/>
    <w:rsid w:val="007C1D59"/>
    <w:rsid w:val="007C229D"/>
    <w:rsid w:val="007E5CFC"/>
    <w:rsid w:val="007E5F37"/>
    <w:rsid w:val="007F0F8E"/>
    <w:rsid w:val="007F66BA"/>
    <w:rsid w:val="00805272"/>
    <w:rsid w:val="0080797F"/>
    <w:rsid w:val="00807BD2"/>
    <w:rsid w:val="00807D2C"/>
    <w:rsid w:val="008113ED"/>
    <w:rsid w:val="00815326"/>
    <w:rsid w:val="00821678"/>
    <w:rsid w:val="00830358"/>
    <w:rsid w:val="008322FB"/>
    <w:rsid w:val="00833CA0"/>
    <w:rsid w:val="00842604"/>
    <w:rsid w:val="00861128"/>
    <w:rsid w:val="0086270F"/>
    <w:rsid w:val="00871500"/>
    <w:rsid w:val="00871A4A"/>
    <w:rsid w:val="008766AF"/>
    <w:rsid w:val="00886C23"/>
    <w:rsid w:val="00897519"/>
    <w:rsid w:val="008A7FD2"/>
    <w:rsid w:val="008B2F72"/>
    <w:rsid w:val="008B506A"/>
    <w:rsid w:val="008B7854"/>
    <w:rsid w:val="008B7A28"/>
    <w:rsid w:val="008C28DD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7B6F"/>
    <w:rsid w:val="00910E77"/>
    <w:rsid w:val="00912C7B"/>
    <w:rsid w:val="00913859"/>
    <w:rsid w:val="00917251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60D4"/>
    <w:rsid w:val="00973F0D"/>
    <w:rsid w:val="00980B31"/>
    <w:rsid w:val="009840C7"/>
    <w:rsid w:val="0098676D"/>
    <w:rsid w:val="00991C99"/>
    <w:rsid w:val="009924E0"/>
    <w:rsid w:val="0099279A"/>
    <w:rsid w:val="009A1FE2"/>
    <w:rsid w:val="009A26F6"/>
    <w:rsid w:val="009A2D74"/>
    <w:rsid w:val="009A3B45"/>
    <w:rsid w:val="009A6B02"/>
    <w:rsid w:val="009B113B"/>
    <w:rsid w:val="009B790F"/>
    <w:rsid w:val="009E438F"/>
    <w:rsid w:val="009F1AC7"/>
    <w:rsid w:val="009F6391"/>
    <w:rsid w:val="00A0444C"/>
    <w:rsid w:val="00A204F7"/>
    <w:rsid w:val="00A23D85"/>
    <w:rsid w:val="00A32DB9"/>
    <w:rsid w:val="00A601D5"/>
    <w:rsid w:val="00A63B18"/>
    <w:rsid w:val="00A67A99"/>
    <w:rsid w:val="00A7050C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6D32"/>
    <w:rsid w:val="00B00260"/>
    <w:rsid w:val="00B065A9"/>
    <w:rsid w:val="00B13C22"/>
    <w:rsid w:val="00B13FD0"/>
    <w:rsid w:val="00B17EBA"/>
    <w:rsid w:val="00B20650"/>
    <w:rsid w:val="00B22C47"/>
    <w:rsid w:val="00B269F8"/>
    <w:rsid w:val="00B40AB0"/>
    <w:rsid w:val="00B43B25"/>
    <w:rsid w:val="00B51C6D"/>
    <w:rsid w:val="00B54483"/>
    <w:rsid w:val="00B5498B"/>
    <w:rsid w:val="00B7124E"/>
    <w:rsid w:val="00B778A8"/>
    <w:rsid w:val="00B8265F"/>
    <w:rsid w:val="00B82AD2"/>
    <w:rsid w:val="00B84636"/>
    <w:rsid w:val="00B87DD6"/>
    <w:rsid w:val="00B9295F"/>
    <w:rsid w:val="00B96C9E"/>
    <w:rsid w:val="00BA4BBA"/>
    <w:rsid w:val="00BA505A"/>
    <w:rsid w:val="00BA61A6"/>
    <w:rsid w:val="00BA69E8"/>
    <w:rsid w:val="00BA6FE6"/>
    <w:rsid w:val="00BB28DD"/>
    <w:rsid w:val="00BB414A"/>
    <w:rsid w:val="00BC52F6"/>
    <w:rsid w:val="00BC6594"/>
    <w:rsid w:val="00BD6FCF"/>
    <w:rsid w:val="00BE0D38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56C5"/>
    <w:rsid w:val="00C529D8"/>
    <w:rsid w:val="00C57402"/>
    <w:rsid w:val="00C64F12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C69B0"/>
    <w:rsid w:val="00CD5D9C"/>
    <w:rsid w:val="00CD7259"/>
    <w:rsid w:val="00CD7348"/>
    <w:rsid w:val="00CF2AD4"/>
    <w:rsid w:val="00D01995"/>
    <w:rsid w:val="00D01D30"/>
    <w:rsid w:val="00D177FE"/>
    <w:rsid w:val="00D205F8"/>
    <w:rsid w:val="00D23241"/>
    <w:rsid w:val="00D23E73"/>
    <w:rsid w:val="00D25D38"/>
    <w:rsid w:val="00D316E5"/>
    <w:rsid w:val="00D34A86"/>
    <w:rsid w:val="00D3689A"/>
    <w:rsid w:val="00D41991"/>
    <w:rsid w:val="00D446DC"/>
    <w:rsid w:val="00D4699E"/>
    <w:rsid w:val="00D51BC4"/>
    <w:rsid w:val="00D61778"/>
    <w:rsid w:val="00D618BC"/>
    <w:rsid w:val="00D622A2"/>
    <w:rsid w:val="00D62573"/>
    <w:rsid w:val="00D670E8"/>
    <w:rsid w:val="00D70929"/>
    <w:rsid w:val="00D76B6C"/>
    <w:rsid w:val="00D8160E"/>
    <w:rsid w:val="00D834C8"/>
    <w:rsid w:val="00D87AF5"/>
    <w:rsid w:val="00D97F8F"/>
    <w:rsid w:val="00DA309B"/>
    <w:rsid w:val="00DC53C7"/>
    <w:rsid w:val="00DC7282"/>
    <w:rsid w:val="00DC72DF"/>
    <w:rsid w:val="00DE0150"/>
    <w:rsid w:val="00DF0210"/>
    <w:rsid w:val="00DF289E"/>
    <w:rsid w:val="00DF2B43"/>
    <w:rsid w:val="00DF2B83"/>
    <w:rsid w:val="00DF44D4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707EE"/>
    <w:rsid w:val="00E74B22"/>
    <w:rsid w:val="00E90C62"/>
    <w:rsid w:val="00EA2121"/>
    <w:rsid w:val="00EA664D"/>
    <w:rsid w:val="00EB2A5C"/>
    <w:rsid w:val="00EB429B"/>
    <w:rsid w:val="00EB5D99"/>
    <w:rsid w:val="00ED1A9D"/>
    <w:rsid w:val="00EE5196"/>
    <w:rsid w:val="00EE5E2F"/>
    <w:rsid w:val="00EE6D17"/>
    <w:rsid w:val="00EF472B"/>
    <w:rsid w:val="00EF4CAF"/>
    <w:rsid w:val="00EF588A"/>
    <w:rsid w:val="00F008E4"/>
    <w:rsid w:val="00F10011"/>
    <w:rsid w:val="00F22051"/>
    <w:rsid w:val="00F238F5"/>
    <w:rsid w:val="00F36219"/>
    <w:rsid w:val="00F3632A"/>
    <w:rsid w:val="00F40DA2"/>
    <w:rsid w:val="00F43129"/>
    <w:rsid w:val="00F47E7B"/>
    <w:rsid w:val="00F51C9F"/>
    <w:rsid w:val="00F559B5"/>
    <w:rsid w:val="00F7367F"/>
    <w:rsid w:val="00F77A55"/>
    <w:rsid w:val="00F828E4"/>
    <w:rsid w:val="00F84C85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C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mr.com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://www.HealthCare.gov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HealthCare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r.com" TargetMode="External"/><Relationship Id="rId24" Type="http://schemas.openxmlformats.org/officeDocument/2006/relationships/hyperlink" Target="http://www.um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Care.gov" TargetMode="External"/><Relationship Id="rId23" Type="http://schemas.openxmlformats.org/officeDocument/2006/relationships/hyperlink" Target="http://www.umr.com" TargetMode="External"/><Relationship Id="rId10" Type="http://schemas.openxmlformats.org/officeDocument/2006/relationships/hyperlink" Target="http://www.umr.com" TargetMode="External"/><Relationship Id="rId19" Type="http://schemas.openxmlformats.org/officeDocument/2006/relationships/hyperlink" Target="http://cciio.cms.gov/programs/consumer/capgrant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navitus.co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1951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14020</CharactersWithSpaces>
  <SharedDoc>false</SharedDoc>
  <HLinks>
    <vt:vector size="66" baseType="variant">
      <vt:variant>
        <vt:i4>7274614</vt:i4>
      </vt:variant>
      <vt:variant>
        <vt:i4>69</vt:i4>
      </vt:variant>
      <vt:variant>
        <vt:i4>0</vt:i4>
      </vt:variant>
      <vt:variant>
        <vt:i4>5</vt:i4>
      </vt:variant>
      <vt:variant>
        <vt:lpwstr>http://cciio.cms.gov/programs/consumer/capgrants/index.html</vt:lpwstr>
      </vt:variant>
      <vt:variant>
        <vt:lpwstr/>
      </vt:variant>
      <vt:variant>
        <vt:i4>2687012</vt:i4>
      </vt:variant>
      <vt:variant>
        <vt:i4>66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57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http://www.insurancecompany.com/prescriptions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Jake Halstead</cp:lastModifiedBy>
  <cp:revision>3</cp:revision>
  <cp:lastPrinted>2004-03-17T10:05:00Z</cp:lastPrinted>
  <dcterms:created xsi:type="dcterms:W3CDTF">2022-10-11T18:47:00Z</dcterms:created>
  <dcterms:modified xsi:type="dcterms:W3CDTF">2022-10-18T18:53:00Z</dcterms:modified>
</cp:coreProperties>
</file>